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62043345" w:displacedByCustomXml="next"/>
    <w:bookmarkStart w:id="1" w:name="_Hlk62044164" w:displacedByCustomXml="next"/>
    <w:bookmarkStart w:id="2" w:name="_Hlk62043585" w:displacedByCustomXml="next"/>
    <w:sdt>
      <w:sdtPr>
        <w:alias w:val="Titel"/>
        <w:tag w:val=""/>
        <w:id w:val="-1095551965"/>
        <w:placeholder>
          <w:docPart w:val="4F11B18F87984D4EAD558EE7BA1AC108"/>
        </w:placeholder>
        <w:dataBinding w:prefixMappings="xmlns:ns0='http://purl.org/dc/elements/1.1/' xmlns:ns1='http://schemas.openxmlformats.org/package/2006/metadata/core-properties' " w:xpath="/ns1:coreProperties[1]/ns0:title[1]" w:storeItemID="{6C3C8BC8-F283-45AE-878A-BAB7291924A1}"/>
        <w:text/>
      </w:sdtPr>
      <w:sdtContent>
        <w:p w14:paraId="633E8863" w14:textId="2D04B17F" w:rsidR="0015161F" w:rsidRPr="0015161F" w:rsidRDefault="0015161F" w:rsidP="0015161F">
          <w:pPr>
            <w:pStyle w:val="Titel"/>
          </w:pPr>
          <w:r>
            <w:t xml:space="preserve">Konsekvensbeskrivning </w:t>
          </w:r>
          <w:r w:rsidR="0088050A">
            <w:t>av</w:t>
          </w:r>
          <w:r>
            <w:t xml:space="preserve"> </w:t>
          </w:r>
          <w:r w:rsidR="005016C6">
            <w:t>riktlinje</w:t>
          </w:r>
          <w:r w:rsidR="001260B3">
            <w:t>r</w:t>
          </w:r>
          <w:r w:rsidR="005016C6">
            <w:t xml:space="preserve"> för handläggning av </w:t>
          </w:r>
          <w:r w:rsidR="005337E8">
            <w:t>öppenvinkel</w:t>
          </w:r>
          <w:r w:rsidR="005016C6">
            <w:t>glaukom</w:t>
          </w:r>
        </w:p>
      </w:sdtContent>
    </w:sdt>
    <w:bookmarkEnd w:id="0" w:displacedByCustomXml="prev"/>
    <w:p w14:paraId="71033A31" w14:textId="77777777" w:rsidR="0015161F" w:rsidRPr="0015161F" w:rsidRDefault="0015161F" w:rsidP="0015161F">
      <w:r w:rsidRPr="0015161F">
        <w:rPr>
          <w:noProof/>
          <w:lang w:eastAsia="sv-SE"/>
        </w:rPr>
        <mc:AlternateContent>
          <mc:Choice Requires="wps">
            <w:drawing>
              <wp:inline distT="0" distB="0" distL="0" distR="0" wp14:anchorId="70010EC6" wp14:editId="73A0A5F5">
                <wp:extent cx="4842510" cy="6720840"/>
                <wp:effectExtent l="0" t="0" r="8890" b="8255"/>
                <wp:docPr id="131" name="Textruta 131"/>
                <wp:cNvGraphicFramePr/>
                <a:graphic xmlns:a="http://schemas.openxmlformats.org/drawingml/2006/main">
                  <a:graphicData uri="http://schemas.microsoft.com/office/word/2010/wordprocessingShape">
                    <wps:wsp>
                      <wps:cNvSpPr txBox="1"/>
                      <wps:spPr>
                        <a:xfrm>
                          <a:off x="0" y="0"/>
                          <a:ext cx="484251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7A1E19" w14:textId="4B93C498" w:rsidR="0015161F" w:rsidRPr="006B4236" w:rsidRDefault="003C037A" w:rsidP="0015161F">
                            <w:pPr>
                              <w:pStyle w:val="Frfattare"/>
                            </w:pPr>
                            <w:r>
                              <w:t>NPO Ögonsjukdomar, NAG Glaukom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70010EC6" id="_x0000_t202" coordsize="21600,21600" o:spt="202" path="m,l,21600r21600,l21600,xe">
                <v:stroke joinstyle="miter"/>
                <v:path gradientshapeok="t" o:connecttype="rect"/>
              </v:shapetype>
              <v:shape id="Textruta 131" o:spid="_x0000_s1026" type="#_x0000_t202" style="width:381.3pt;height:5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" filled="f" stroked="f" strokeweight=".5pt">
                <v:textbox style="mso-fit-shape-to-text:t" inset="0,0,0,0">
                  <w:txbxContent>
                    <w:p w14:paraId="507A1E19" w14:textId="4B93C498" w:rsidR="0015161F" w:rsidRPr="006B4236" w:rsidRDefault="003C037A" w:rsidP="0015161F">
                      <w:pPr>
                        <w:pStyle w:val="Frfattare"/>
                      </w:pPr>
                      <w:r>
                        <w:t>NPO Ögonsjukdomar, NAG Glaukom</w:t>
                      </w:r>
                    </w:p>
                  </w:txbxContent>
                </v:textbox>
                <w10:anchorlock/>
              </v:shape>
            </w:pict>
          </mc:Fallback>
        </mc:AlternateContent>
      </w:r>
    </w:p>
    <w:bookmarkEnd w:id="1"/>
    <w:p w14:paraId="5AC72F81" w14:textId="484F7FE9" w:rsidR="0015161F" w:rsidRDefault="0015161F" w:rsidP="0008762B">
      <w:pPr>
        <w:pStyle w:val="Rubrik1"/>
      </w:pPr>
      <w:r w:rsidRPr="0015161F">
        <w:br w:type="page"/>
      </w:r>
      <w:bookmarkStart w:id="3" w:name="_Toc62045675"/>
      <w:bookmarkStart w:id="4" w:name="_Toc118795163"/>
      <w:bookmarkEnd w:id="2"/>
      <w:sdt>
        <w:sdtPr>
          <w:alias w:val="Titel"/>
          <w:tag w:val="Titel"/>
          <w:id w:val="389699959"/>
          <w:placeholder>
            <w:docPart w:val="9AC81BFE38314618921F40B106EC938C"/>
          </w:placeholder>
        </w:sdtPr>
        <w:sdtContent>
          <w:r>
            <w:t xml:space="preserve">Konsekvensbeskrivning </w:t>
          </w:r>
          <w:r w:rsidR="0088050A">
            <w:t>av</w:t>
          </w:r>
          <w:r>
            <w:t xml:space="preserve"> </w:t>
          </w:r>
          <w:r w:rsidR="00AB509C">
            <w:t>riktlinje</w:t>
          </w:r>
          <w:r w:rsidR="00E25304">
            <w:t>r</w:t>
          </w:r>
          <w:r w:rsidR="00AB509C">
            <w:t xml:space="preserve"> </w:t>
          </w:r>
          <w:r w:rsidR="006E055A">
            <w:t xml:space="preserve">för handläggning av </w:t>
          </w:r>
          <w:r w:rsidR="00964FA0">
            <w:t>öppenvinkel</w:t>
          </w:r>
          <w:r w:rsidR="006E055A">
            <w:t>glaukom</w:t>
          </w:r>
        </w:sdtContent>
      </w:sdt>
      <w:bookmarkEnd w:id="3"/>
      <w:bookmarkEnd w:id="4"/>
    </w:p>
    <w:bookmarkStart w:id="5" w:name="_Toc118795164" w:displacedByCustomXml="next"/>
    <w:sdt>
      <w:sdtPr>
        <w:alias w:val="Rubrik 2"/>
        <w:tag w:val="Rubrik 2"/>
        <w:id w:val="1452287441"/>
        <w:placeholder>
          <w:docPart w:val="3BD953885A004A60A71AB06BAFC3918E"/>
        </w:placeholder>
      </w:sdtPr>
      <w:sdtContent>
        <w:p w14:paraId="26764F91" w14:textId="77777777" w:rsidR="0015161F" w:rsidRPr="00A95398" w:rsidRDefault="0015161F" w:rsidP="0015161F">
          <w:pPr>
            <w:pStyle w:val="Rubrik2"/>
          </w:pPr>
          <w:r w:rsidRPr="0014264C">
            <w:rPr>
              <w:rStyle w:val="Rubrik3Char"/>
            </w:rPr>
            <w:t>Versionshantering</w:t>
          </w:r>
        </w:p>
      </w:sdtContent>
    </w:sdt>
    <w:bookmarkEnd w:id="5" w:displacedByCustomXml="prev"/>
    <w:tbl>
      <w:tblPr>
        <w:tblStyle w:val="Rutntstabell1ljus"/>
        <w:tblW w:w="0" w:type="auto"/>
        <w:tblLook w:val="04A0" w:firstRow="1" w:lastRow="0" w:firstColumn="1" w:lastColumn="0" w:noHBand="0" w:noVBand="1"/>
      </w:tblPr>
      <w:tblGrid>
        <w:gridCol w:w="4531"/>
        <w:gridCol w:w="4531"/>
      </w:tblGrid>
      <w:tr w:rsidR="0015161F" w:rsidRPr="00A95398" w14:paraId="735319A0" w14:textId="77777777" w:rsidTr="00DC1F2D">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4531" w:type="dxa"/>
          </w:tcPr>
          <w:p w14:paraId="23D73024" w14:textId="766FDC73" w:rsidR="0015161F" w:rsidRPr="00A95398" w:rsidRDefault="0015161F" w:rsidP="00DC1F2D">
            <w:r w:rsidRPr="00A95398">
              <w:t>Datum</w:t>
            </w:r>
          </w:p>
        </w:tc>
        <w:tc>
          <w:tcPr>
            <w:tcW w:w="4531" w:type="dxa"/>
          </w:tcPr>
          <w:p w14:paraId="115E8CFA" w14:textId="77777777" w:rsidR="0015161F" w:rsidRPr="00A95398" w:rsidRDefault="0015161F" w:rsidP="00DC1F2D">
            <w:pPr>
              <w:cnfStyle w:val="100000000000" w:firstRow="1" w:lastRow="0" w:firstColumn="0" w:lastColumn="0" w:oddVBand="0" w:evenVBand="0" w:oddHBand="0" w:evenHBand="0" w:firstRowFirstColumn="0" w:firstRowLastColumn="0" w:lastRowFirstColumn="0" w:lastRowLastColumn="0"/>
            </w:pPr>
            <w:r w:rsidRPr="00A95398">
              <w:t>Beskrivning av förändring</w:t>
            </w:r>
          </w:p>
        </w:tc>
      </w:tr>
      <w:tr w:rsidR="0015161F" w:rsidRPr="00A95398" w14:paraId="07448F67" w14:textId="77777777" w:rsidTr="00DC1F2D">
        <w:trPr>
          <w:trHeight w:val="1318"/>
        </w:trPr>
        <w:tc>
          <w:tcPr>
            <w:cnfStyle w:val="001000000000" w:firstRow="0" w:lastRow="0" w:firstColumn="1" w:lastColumn="0" w:oddVBand="0" w:evenVBand="0" w:oddHBand="0" w:evenHBand="0" w:firstRowFirstColumn="0" w:firstRowLastColumn="0" w:lastRowFirstColumn="0" w:lastRowLastColumn="0"/>
            <w:tcW w:w="4531" w:type="dxa"/>
          </w:tcPr>
          <w:p w14:paraId="560B01EA" w14:textId="7C4C3500" w:rsidR="0015161F" w:rsidRPr="00A95398" w:rsidRDefault="00964FA0" w:rsidP="00DC1F2D">
            <w:pPr>
              <w:spacing w:before="360"/>
            </w:pPr>
            <w:r>
              <w:t>2022-09-20</w:t>
            </w:r>
          </w:p>
        </w:tc>
        <w:tc>
          <w:tcPr>
            <w:tcW w:w="4531" w:type="dxa"/>
          </w:tcPr>
          <w:p w14:paraId="7F555255" w14:textId="04190C58" w:rsidR="0015161F" w:rsidRPr="00964FA0" w:rsidRDefault="00964FA0" w:rsidP="00DC1F2D">
            <w:pPr>
              <w:spacing w:before="360"/>
              <w:cnfStyle w:val="000000000000" w:firstRow="0" w:lastRow="0" w:firstColumn="0" w:lastColumn="0" w:oddVBand="0" w:evenVBand="0" w:oddHBand="0" w:evenHBand="0" w:firstRowFirstColumn="0" w:firstRowLastColumn="0" w:lastRowFirstColumn="0" w:lastRowLastColumn="0"/>
              <w:rPr>
                <w:iCs/>
              </w:rPr>
            </w:pPr>
            <w:r w:rsidRPr="00964FA0">
              <w:rPr>
                <w:iCs/>
              </w:rPr>
              <w:t>Version 1</w:t>
            </w:r>
          </w:p>
        </w:tc>
      </w:tr>
      <w:tr w:rsidR="0015161F" w:rsidRPr="00A95398" w14:paraId="20FEE173" w14:textId="77777777" w:rsidTr="00DC1F2D">
        <w:trPr>
          <w:trHeight w:val="1556"/>
        </w:trPr>
        <w:tc>
          <w:tcPr>
            <w:cnfStyle w:val="001000000000" w:firstRow="0" w:lastRow="0" w:firstColumn="1" w:lastColumn="0" w:oddVBand="0" w:evenVBand="0" w:oddHBand="0" w:evenHBand="0" w:firstRowFirstColumn="0" w:firstRowLastColumn="0" w:lastRowFirstColumn="0" w:lastRowLastColumn="0"/>
            <w:tcW w:w="4531" w:type="dxa"/>
          </w:tcPr>
          <w:p w14:paraId="6C3E1418" w14:textId="77777777" w:rsidR="0015161F" w:rsidRPr="00A95398" w:rsidRDefault="0015161F" w:rsidP="00DC1F2D">
            <w:pPr>
              <w:spacing w:before="360"/>
            </w:pPr>
          </w:p>
        </w:tc>
        <w:tc>
          <w:tcPr>
            <w:tcW w:w="4531" w:type="dxa"/>
          </w:tcPr>
          <w:p w14:paraId="2495C6F8" w14:textId="77777777" w:rsidR="0015161F" w:rsidRPr="00A95398" w:rsidRDefault="0015161F" w:rsidP="00DC1F2D">
            <w:pPr>
              <w:spacing w:before="360"/>
              <w:cnfStyle w:val="000000000000" w:firstRow="0" w:lastRow="0" w:firstColumn="0" w:lastColumn="0" w:oddVBand="0" w:evenVBand="0" w:oddHBand="0" w:evenHBand="0" w:firstRowFirstColumn="0" w:firstRowLastColumn="0" w:lastRowFirstColumn="0" w:lastRowLastColumn="0"/>
              <w:rPr>
                <w:i/>
              </w:rPr>
            </w:pPr>
          </w:p>
        </w:tc>
      </w:tr>
    </w:tbl>
    <w:p w14:paraId="0EF8C684" w14:textId="77777777" w:rsidR="0015161F" w:rsidRDefault="0015161F" w:rsidP="0015161F">
      <w:r>
        <w:br w:type="page"/>
      </w:r>
    </w:p>
    <w:sdt>
      <w:sdtPr>
        <w:rPr>
          <w:rFonts w:asciiTheme="minorHAnsi" w:eastAsiaTheme="minorHAnsi" w:hAnsiTheme="minorHAnsi" w:cstheme="minorBidi"/>
          <w:color w:val="auto"/>
          <w:sz w:val="22"/>
          <w:szCs w:val="22"/>
          <w:lang w:eastAsia="en-US"/>
        </w:rPr>
        <w:id w:val="724101474"/>
        <w:docPartObj>
          <w:docPartGallery w:val="Table of Contents"/>
          <w:docPartUnique/>
        </w:docPartObj>
      </w:sdtPr>
      <w:sdtEndPr>
        <w:rPr>
          <w:b/>
          <w:bCs/>
        </w:rPr>
      </w:sdtEndPr>
      <w:sdtContent>
        <w:p w14:paraId="78E45DBD" w14:textId="77777777" w:rsidR="00E01C95" w:rsidRDefault="00E01C95" w:rsidP="00E01C95">
          <w:pPr>
            <w:pStyle w:val="Innehllsfrteckningsrubrik"/>
          </w:pPr>
          <w:r>
            <w:t>Innehållsförteckning</w:t>
          </w:r>
        </w:p>
        <w:p w14:paraId="2B29C591" w14:textId="4D278AAC" w:rsidR="003C037A" w:rsidRDefault="00E01C95">
          <w:pPr>
            <w:pStyle w:val="Innehll1"/>
            <w:tabs>
              <w:tab w:val="right" w:leader="dot" w:pos="9063"/>
            </w:tabs>
            <w:rPr>
              <w:rFonts w:eastAsiaTheme="minorEastAsia"/>
              <w:noProof/>
              <w:lang w:eastAsia="sv-SE"/>
            </w:rPr>
          </w:pPr>
          <w:r w:rsidRPr="00E01C95">
            <w:rPr>
              <w:color w:val="000000" w:themeColor="text1"/>
              <w:sz w:val="24"/>
              <w:szCs w:val="24"/>
            </w:rPr>
            <w:fldChar w:fldCharType="begin"/>
          </w:r>
          <w:r w:rsidRPr="00E01C95">
            <w:rPr>
              <w:color w:val="000000" w:themeColor="text1"/>
              <w:sz w:val="24"/>
              <w:szCs w:val="24"/>
            </w:rPr>
            <w:instrText xml:space="preserve"> TOC \o "1-3" \h \z \u </w:instrText>
          </w:r>
          <w:r w:rsidRPr="00E01C95">
            <w:rPr>
              <w:color w:val="000000" w:themeColor="text1"/>
              <w:sz w:val="24"/>
              <w:szCs w:val="24"/>
            </w:rPr>
            <w:fldChar w:fldCharType="separate"/>
          </w:r>
          <w:hyperlink w:anchor="_Toc118795163" w:history="1">
            <w:r w:rsidR="003C037A" w:rsidRPr="0032217F">
              <w:rPr>
                <w:rStyle w:val="Hyperlnk"/>
                <w:noProof/>
                <w:color w:val="000000" w:themeColor="text1"/>
              </w:rPr>
              <w:t>Konsekvensbeskrivning av riktlinjer för handläggning av öppenvinkelglaukom</w:t>
            </w:r>
            <w:r w:rsidR="003C037A">
              <w:rPr>
                <w:noProof/>
                <w:webHidden/>
              </w:rPr>
              <w:tab/>
            </w:r>
            <w:r w:rsidR="003C037A">
              <w:rPr>
                <w:noProof/>
                <w:webHidden/>
              </w:rPr>
              <w:fldChar w:fldCharType="begin"/>
            </w:r>
            <w:r w:rsidR="003C037A">
              <w:rPr>
                <w:noProof/>
                <w:webHidden/>
              </w:rPr>
              <w:instrText xml:space="preserve"> PAGEREF _Toc118795163 \h </w:instrText>
            </w:r>
            <w:r w:rsidR="003C037A">
              <w:rPr>
                <w:noProof/>
                <w:webHidden/>
              </w:rPr>
            </w:r>
            <w:r w:rsidR="003C037A">
              <w:rPr>
                <w:noProof/>
                <w:webHidden/>
              </w:rPr>
              <w:fldChar w:fldCharType="separate"/>
            </w:r>
            <w:r w:rsidR="003C037A">
              <w:rPr>
                <w:noProof/>
                <w:webHidden/>
              </w:rPr>
              <w:t>2</w:t>
            </w:r>
            <w:r w:rsidR="003C037A">
              <w:rPr>
                <w:noProof/>
                <w:webHidden/>
              </w:rPr>
              <w:fldChar w:fldCharType="end"/>
            </w:r>
          </w:hyperlink>
        </w:p>
        <w:p w14:paraId="7C8D09A3" w14:textId="7C971540" w:rsidR="003C037A" w:rsidRDefault="003C037A">
          <w:pPr>
            <w:pStyle w:val="Innehll2"/>
            <w:tabs>
              <w:tab w:val="right" w:leader="dot" w:pos="9063"/>
            </w:tabs>
            <w:rPr>
              <w:rFonts w:eastAsiaTheme="minorEastAsia"/>
              <w:noProof/>
              <w:lang w:eastAsia="sv-SE"/>
            </w:rPr>
          </w:pPr>
          <w:hyperlink w:anchor="_Toc118795164" w:history="1">
            <w:r w:rsidRPr="0032217F">
              <w:rPr>
                <w:rStyle w:val="Hyperlnk"/>
                <w:noProof/>
                <w:color w:val="000000" w:themeColor="text1"/>
              </w:rPr>
              <w:t>Versionshantering</w:t>
            </w:r>
            <w:r>
              <w:rPr>
                <w:noProof/>
                <w:webHidden/>
              </w:rPr>
              <w:tab/>
            </w:r>
            <w:r>
              <w:rPr>
                <w:noProof/>
                <w:webHidden/>
              </w:rPr>
              <w:fldChar w:fldCharType="begin"/>
            </w:r>
            <w:r>
              <w:rPr>
                <w:noProof/>
                <w:webHidden/>
              </w:rPr>
              <w:instrText xml:space="preserve"> PAGEREF _Toc118795164 \h </w:instrText>
            </w:r>
            <w:r>
              <w:rPr>
                <w:noProof/>
                <w:webHidden/>
              </w:rPr>
            </w:r>
            <w:r>
              <w:rPr>
                <w:noProof/>
                <w:webHidden/>
              </w:rPr>
              <w:fldChar w:fldCharType="separate"/>
            </w:r>
            <w:r>
              <w:rPr>
                <w:noProof/>
                <w:webHidden/>
              </w:rPr>
              <w:t>2</w:t>
            </w:r>
            <w:r>
              <w:rPr>
                <w:noProof/>
                <w:webHidden/>
              </w:rPr>
              <w:fldChar w:fldCharType="end"/>
            </w:r>
          </w:hyperlink>
        </w:p>
        <w:p w14:paraId="49B7BABC" w14:textId="3BE40FD9" w:rsidR="003C037A" w:rsidRDefault="003C037A">
          <w:pPr>
            <w:pStyle w:val="Innehll1"/>
            <w:tabs>
              <w:tab w:val="right" w:leader="dot" w:pos="9063"/>
            </w:tabs>
            <w:rPr>
              <w:rFonts w:eastAsiaTheme="minorEastAsia"/>
              <w:noProof/>
              <w:lang w:eastAsia="sv-SE"/>
            </w:rPr>
          </w:pPr>
          <w:hyperlink w:anchor="_Toc118795165" w:history="1">
            <w:r w:rsidRPr="0032217F">
              <w:rPr>
                <w:rStyle w:val="Hyperlnk"/>
                <w:noProof/>
                <w:color w:val="000000" w:themeColor="text1"/>
              </w:rPr>
              <w:t>Sammanfattning</w:t>
            </w:r>
            <w:r>
              <w:rPr>
                <w:noProof/>
                <w:webHidden/>
              </w:rPr>
              <w:tab/>
            </w:r>
            <w:r>
              <w:rPr>
                <w:noProof/>
                <w:webHidden/>
              </w:rPr>
              <w:fldChar w:fldCharType="begin"/>
            </w:r>
            <w:r>
              <w:rPr>
                <w:noProof/>
                <w:webHidden/>
              </w:rPr>
              <w:instrText xml:space="preserve"> PAGEREF _Toc118795165 \h </w:instrText>
            </w:r>
            <w:r>
              <w:rPr>
                <w:noProof/>
                <w:webHidden/>
              </w:rPr>
            </w:r>
            <w:r>
              <w:rPr>
                <w:noProof/>
                <w:webHidden/>
              </w:rPr>
              <w:fldChar w:fldCharType="separate"/>
            </w:r>
            <w:r>
              <w:rPr>
                <w:noProof/>
                <w:webHidden/>
              </w:rPr>
              <w:t>4</w:t>
            </w:r>
            <w:r>
              <w:rPr>
                <w:noProof/>
                <w:webHidden/>
              </w:rPr>
              <w:fldChar w:fldCharType="end"/>
            </w:r>
          </w:hyperlink>
        </w:p>
        <w:p w14:paraId="28839657" w14:textId="73DBA029" w:rsidR="003C037A" w:rsidRDefault="003C037A">
          <w:pPr>
            <w:pStyle w:val="Innehll1"/>
            <w:tabs>
              <w:tab w:val="left" w:pos="440"/>
              <w:tab w:val="right" w:leader="dot" w:pos="9063"/>
            </w:tabs>
            <w:rPr>
              <w:rFonts w:eastAsiaTheme="minorEastAsia"/>
              <w:noProof/>
              <w:lang w:eastAsia="sv-SE"/>
            </w:rPr>
          </w:pPr>
          <w:hyperlink w:anchor="_Toc118795166" w:history="1">
            <w:r w:rsidRPr="0032217F">
              <w:rPr>
                <w:rStyle w:val="Hyperlnk"/>
                <w:noProof/>
                <w:color w:val="000000" w:themeColor="text1"/>
              </w:rPr>
              <w:t>1.</w:t>
            </w:r>
            <w:r>
              <w:rPr>
                <w:rFonts w:eastAsiaTheme="minorEastAsia"/>
                <w:noProof/>
                <w:lang w:eastAsia="sv-SE"/>
              </w:rPr>
              <w:tab/>
            </w:r>
            <w:r w:rsidRPr="0032217F">
              <w:rPr>
                <w:rStyle w:val="Hyperlnk"/>
                <w:noProof/>
                <w:color w:val="000000" w:themeColor="text1"/>
              </w:rPr>
              <w:t>Om konsekvensbeskrivningen</w:t>
            </w:r>
            <w:r>
              <w:rPr>
                <w:noProof/>
                <w:webHidden/>
              </w:rPr>
              <w:tab/>
            </w:r>
            <w:r>
              <w:rPr>
                <w:noProof/>
                <w:webHidden/>
              </w:rPr>
              <w:fldChar w:fldCharType="begin"/>
            </w:r>
            <w:r>
              <w:rPr>
                <w:noProof/>
                <w:webHidden/>
              </w:rPr>
              <w:instrText xml:space="preserve"> PAGEREF _Toc118795166 \h </w:instrText>
            </w:r>
            <w:r>
              <w:rPr>
                <w:noProof/>
                <w:webHidden/>
              </w:rPr>
            </w:r>
            <w:r>
              <w:rPr>
                <w:noProof/>
                <w:webHidden/>
              </w:rPr>
              <w:fldChar w:fldCharType="separate"/>
            </w:r>
            <w:r>
              <w:rPr>
                <w:noProof/>
                <w:webHidden/>
              </w:rPr>
              <w:t>4</w:t>
            </w:r>
            <w:r>
              <w:rPr>
                <w:noProof/>
                <w:webHidden/>
              </w:rPr>
              <w:fldChar w:fldCharType="end"/>
            </w:r>
          </w:hyperlink>
        </w:p>
        <w:p w14:paraId="5B2B4B7D" w14:textId="60802A32" w:rsidR="003C037A" w:rsidRDefault="003C037A">
          <w:pPr>
            <w:pStyle w:val="Innehll1"/>
            <w:tabs>
              <w:tab w:val="left" w:pos="440"/>
              <w:tab w:val="right" w:leader="dot" w:pos="9063"/>
            </w:tabs>
            <w:rPr>
              <w:rFonts w:eastAsiaTheme="minorEastAsia"/>
              <w:noProof/>
              <w:lang w:eastAsia="sv-SE"/>
            </w:rPr>
          </w:pPr>
          <w:hyperlink w:anchor="_Toc118795167" w:history="1">
            <w:r w:rsidRPr="0032217F">
              <w:rPr>
                <w:rStyle w:val="Hyperlnk"/>
                <w:noProof/>
                <w:color w:val="000000" w:themeColor="text1"/>
              </w:rPr>
              <w:t>2.</w:t>
            </w:r>
            <w:r>
              <w:rPr>
                <w:rFonts w:eastAsiaTheme="minorEastAsia"/>
                <w:noProof/>
                <w:lang w:eastAsia="sv-SE"/>
              </w:rPr>
              <w:tab/>
            </w:r>
            <w:r w:rsidRPr="0032217F">
              <w:rPr>
                <w:rStyle w:val="Hyperlnk"/>
                <w:noProof/>
                <w:color w:val="000000" w:themeColor="text1"/>
              </w:rPr>
              <w:t>Konsekvenser</w:t>
            </w:r>
            <w:r>
              <w:rPr>
                <w:noProof/>
                <w:webHidden/>
              </w:rPr>
              <w:tab/>
            </w:r>
            <w:r>
              <w:rPr>
                <w:noProof/>
                <w:webHidden/>
              </w:rPr>
              <w:fldChar w:fldCharType="begin"/>
            </w:r>
            <w:r>
              <w:rPr>
                <w:noProof/>
                <w:webHidden/>
              </w:rPr>
              <w:instrText xml:space="preserve"> PAGEREF _Toc118795167 \h </w:instrText>
            </w:r>
            <w:r>
              <w:rPr>
                <w:noProof/>
                <w:webHidden/>
              </w:rPr>
            </w:r>
            <w:r>
              <w:rPr>
                <w:noProof/>
                <w:webHidden/>
              </w:rPr>
              <w:fldChar w:fldCharType="separate"/>
            </w:r>
            <w:r>
              <w:rPr>
                <w:noProof/>
                <w:webHidden/>
              </w:rPr>
              <w:t>4</w:t>
            </w:r>
            <w:r>
              <w:rPr>
                <w:noProof/>
                <w:webHidden/>
              </w:rPr>
              <w:fldChar w:fldCharType="end"/>
            </w:r>
          </w:hyperlink>
        </w:p>
        <w:p w14:paraId="26FBE9FB" w14:textId="68266D43" w:rsidR="003C037A" w:rsidRDefault="003C037A">
          <w:pPr>
            <w:pStyle w:val="Innehll2"/>
            <w:tabs>
              <w:tab w:val="right" w:leader="dot" w:pos="9063"/>
            </w:tabs>
            <w:rPr>
              <w:rFonts w:eastAsiaTheme="minorEastAsia"/>
              <w:noProof/>
              <w:lang w:eastAsia="sv-SE"/>
            </w:rPr>
          </w:pPr>
          <w:hyperlink w:anchor="_Toc118795168" w:history="1">
            <w:r w:rsidRPr="0032217F">
              <w:rPr>
                <w:rStyle w:val="Hyperlnk"/>
                <w:noProof/>
                <w:color w:val="000000" w:themeColor="text1"/>
              </w:rPr>
              <w:t>2.1 Omfattning</w:t>
            </w:r>
            <w:r>
              <w:rPr>
                <w:noProof/>
                <w:webHidden/>
              </w:rPr>
              <w:tab/>
            </w:r>
            <w:r>
              <w:rPr>
                <w:noProof/>
                <w:webHidden/>
              </w:rPr>
              <w:fldChar w:fldCharType="begin"/>
            </w:r>
            <w:r>
              <w:rPr>
                <w:noProof/>
                <w:webHidden/>
              </w:rPr>
              <w:instrText xml:space="preserve"> PAGEREF _Toc118795168 \h </w:instrText>
            </w:r>
            <w:r>
              <w:rPr>
                <w:noProof/>
                <w:webHidden/>
              </w:rPr>
            </w:r>
            <w:r>
              <w:rPr>
                <w:noProof/>
                <w:webHidden/>
              </w:rPr>
              <w:fldChar w:fldCharType="separate"/>
            </w:r>
            <w:r>
              <w:rPr>
                <w:noProof/>
                <w:webHidden/>
              </w:rPr>
              <w:t>4</w:t>
            </w:r>
            <w:r>
              <w:rPr>
                <w:noProof/>
                <w:webHidden/>
              </w:rPr>
              <w:fldChar w:fldCharType="end"/>
            </w:r>
          </w:hyperlink>
        </w:p>
        <w:p w14:paraId="294C076B" w14:textId="4C1E4220" w:rsidR="003C037A" w:rsidRDefault="003C037A">
          <w:pPr>
            <w:pStyle w:val="Innehll3"/>
            <w:tabs>
              <w:tab w:val="right" w:leader="dot" w:pos="9063"/>
            </w:tabs>
            <w:rPr>
              <w:rFonts w:eastAsiaTheme="minorEastAsia"/>
              <w:noProof/>
              <w:lang w:eastAsia="sv-SE"/>
            </w:rPr>
          </w:pPr>
          <w:hyperlink w:anchor="_Toc118795169" w:history="1">
            <w:r w:rsidRPr="0032217F">
              <w:rPr>
                <w:rStyle w:val="Hyperlnk"/>
                <w:noProof/>
                <w:color w:val="000000" w:themeColor="text1"/>
              </w:rPr>
              <w:t>Prevalens</w:t>
            </w:r>
            <w:r>
              <w:rPr>
                <w:noProof/>
                <w:webHidden/>
              </w:rPr>
              <w:tab/>
            </w:r>
            <w:r>
              <w:rPr>
                <w:noProof/>
                <w:webHidden/>
              </w:rPr>
              <w:fldChar w:fldCharType="begin"/>
            </w:r>
            <w:r>
              <w:rPr>
                <w:noProof/>
                <w:webHidden/>
              </w:rPr>
              <w:instrText xml:space="preserve"> PAGEREF _Toc118795169 \h </w:instrText>
            </w:r>
            <w:r>
              <w:rPr>
                <w:noProof/>
                <w:webHidden/>
              </w:rPr>
            </w:r>
            <w:r>
              <w:rPr>
                <w:noProof/>
                <w:webHidden/>
              </w:rPr>
              <w:fldChar w:fldCharType="separate"/>
            </w:r>
            <w:r>
              <w:rPr>
                <w:noProof/>
                <w:webHidden/>
              </w:rPr>
              <w:t>4</w:t>
            </w:r>
            <w:r>
              <w:rPr>
                <w:noProof/>
                <w:webHidden/>
              </w:rPr>
              <w:fldChar w:fldCharType="end"/>
            </w:r>
          </w:hyperlink>
        </w:p>
        <w:p w14:paraId="64C5676A" w14:textId="59463AF6" w:rsidR="003C037A" w:rsidRDefault="003C037A">
          <w:pPr>
            <w:pStyle w:val="Innehll3"/>
            <w:tabs>
              <w:tab w:val="right" w:leader="dot" w:pos="9063"/>
            </w:tabs>
            <w:rPr>
              <w:rFonts w:eastAsiaTheme="minorEastAsia"/>
              <w:noProof/>
              <w:lang w:eastAsia="sv-SE"/>
            </w:rPr>
          </w:pPr>
          <w:hyperlink w:anchor="_Toc118795170" w:history="1">
            <w:r w:rsidRPr="0032217F">
              <w:rPr>
                <w:rStyle w:val="Hyperlnk"/>
                <w:noProof/>
                <w:color w:val="000000" w:themeColor="text1"/>
              </w:rPr>
              <w:t>Antal</w:t>
            </w:r>
            <w:r>
              <w:rPr>
                <w:noProof/>
                <w:webHidden/>
              </w:rPr>
              <w:tab/>
            </w:r>
            <w:r>
              <w:rPr>
                <w:noProof/>
                <w:webHidden/>
              </w:rPr>
              <w:fldChar w:fldCharType="begin"/>
            </w:r>
            <w:r>
              <w:rPr>
                <w:noProof/>
                <w:webHidden/>
              </w:rPr>
              <w:instrText xml:space="preserve"> PAGEREF _Toc118795170 \h </w:instrText>
            </w:r>
            <w:r>
              <w:rPr>
                <w:noProof/>
                <w:webHidden/>
              </w:rPr>
            </w:r>
            <w:r>
              <w:rPr>
                <w:noProof/>
                <w:webHidden/>
              </w:rPr>
              <w:fldChar w:fldCharType="separate"/>
            </w:r>
            <w:r>
              <w:rPr>
                <w:noProof/>
                <w:webHidden/>
              </w:rPr>
              <w:t>5</w:t>
            </w:r>
            <w:r>
              <w:rPr>
                <w:noProof/>
                <w:webHidden/>
              </w:rPr>
              <w:fldChar w:fldCharType="end"/>
            </w:r>
          </w:hyperlink>
        </w:p>
        <w:p w14:paraId="041D3BA8" w14:textId="5CDB2746" w:rsidR="003C037A" w:rsidRDefault="003C037A">
          <w:pPr>
            <w:pStyle w:val="Innehll3"/>
            <w:tabs>
              <w:tab w:val="right" w:leader="dot" w:pos="9063"/>
            </w:tabs>
            <w:rPr>
              <w:rFonts w:eastAsiaTheme="minorEastAsia"/>
              <w:noProof/>
              <w:lang w:eastAsia="sv-SE"/>
            </w:rPr>
          </w:pPr>
          <w:hyperlink w:anchor="_Toc118795171" w:history="1">
            <w:r w:rsidRPr="0032217F">
              <w:rPr>
                <w:rStyle w:val="Hyperlnk"/>
                <w:noProof/>
                <w:color w:val="000000" w:themeColor="text1"/>
              </w:rPr>
              <w:t>Kirurgi</w:t>
            </w:r>
            <w:r>
              <w:rPr>
                <w:noProof/>
                <w:webHidden/>
              </w:rPr>
              <w:tab/>
            </w:r>
            <w:r>
              <w:rPr>
                <w:noProof/>
                <w:webHidden/>
              </w:rPr>
              <w:fldChar w:fldCharType="begin"/>
            </w:r>
            <w:r>
              <w:rPr>
                <w:noProof/>
                <w:webHidden/>
              </w:rPr>
              <w:instrText xml:space="preserve"> PAGEREF _Toc118795171 \h </w:instrText>
            </w:r>
            <w:r>
              <w:rPr>
                <w:noProof/>
                <w:webHidden/>
              </w:rPr>
            </w:r>
            <w:r>
              <w:rPr>
                <w:noProof/>
                <w:webHidden/>
              </w:rPr>
              <w:fldChar w:fldCharType="separate"/>
            </w:r>
            <w:r>
              <w:rPr>
                <w:noProof/>
                <w:webHidden/>
              </w:rPr>
              <w:t>5</w:t>
            </w:r>
            <w:r>
              <w:rPr>
                <w:noProof/>
                <w:webHidden/>
              </w:rPr>
              <w:fldChar w:fldCharType="end"/>
            </w:r>
          </w:hyperlink>
        </w:p>
        <w:p w14:paraId="70864FF4" w14:textId="229826BD" w:rsidR="003C037A" w:rsidRDefault="003C037A">
          <w:pPr>
            <w:pStyle w:val="Innehll3"/>
            <w:tabs>
              <w:tab w:val="right" w:leader="dot" w:pos="9063"/>
            </w:tabs>
            <w:rPr>
              <w:rFonts w:eastAsiaTheme="minorEastAsia"/>
              <w:noProof/>
              <w:lang w:eastAsia="sv-SE"/>
            </w:rPr>
          </w:pPr>
          <w:hyperlink w:anchor="_Toc118795172" w:history="1">
            <w:r w:rsidRPr="0032217F">
              <w:rPr>
                <w:rStyle w:val="Hyperlnk"/>
                <w:noProof/>
                <w:color w:val="000000" w:themeColor="text1"/>
              </w:rPr>
              <w:t>Antal odiagnostiserade</w:t>
            </w:r>
            <w:r>
              <w:rPr>
                <w:noProof/>
                <w:webHidden/>
              </w:rPr>
              <w:tab/>
            </w:r>
            <w:r>
              <w:rPr>
                <w:noProof/>
                <w:webHidden/>
              </w:rPr>
              <w:fldChar w:fldCharType="begin"/>
            </w:r>
            <w:r>
              <w:rPr>
                <w:noProof/>
                <w:webHidden/>
              </w:rPr>
              <w:instrText xml:space="preserve"> PAGEREF _Toc118795172 \h </w:instrText>
            </w:r>
            <w:r>
              <w:rPr>
                <w:noProof/>
                <w:webHidden/>
              </w:rPr>
            </w:r>
            <w:r>
              <w:rPr>
                <w:noProof/>
                <w:webHidden/>
              </w:rPr>
              <w:fldChar w:fldCharType="separate"/>
            </w:r>
            <w:r>
              <w:rPr>
                <w:noProof/>
                <w:webHidden/>
              </w:rPr>
              <w:t>5</w:t>
            </w:r>
            <w:r>
              <w:rPr>
                <w:noProof/>
                <w:webHidden/>
              </w:rPr>
              <w:fldChar w:fldCharType="end"/>
            </w:r>
          </w:hyperlink>
        </w:p>
        <w:p w14:paraId="6BB63F1F" w14:textId="64BAFA38" w:rsidR="003C037A" w:rsidRDefault="003C037A">
          <w:pPr>
            <w:pStyle w:val="Innehll3"/>
            <w:tabs>
              <w:tab w:val="right" w:leader="dot" w:pos="9063"/>
            </w:tabs>
            <w:rPr>
              <w:rFonts w:eastAsiaTheme="minorEastAsia"/>
              <w:noProof/>
              <w:lang w:eastAsia="sv-SE"/>
            </w:rPr>
          </w:pPr>
          <w:hyperlink w:anchor="_Toc118795173" w:history="1">
            <w:r w:rsidRPr="0032217F">
              <w:rPr>
                <w:rStyle w:val="Hyperlnk"/>
                <w:noProof/>
                <w:color w:val="000000" w:themeColor="text1"/>
              </w:rPr>
              <w:t>Register</w:t>
            </w:r>
            <w:r>
              <w:rPr>
                <w:noProof/>
                <w:webHidden/>
              </w:rPr>
              <w:tab/>
            </w:r>
            <w:r>
              <w:rPr>
                <w:noProof/>
                <w:webHidden/>
              </w:rPr>
              <w:fldChar w:fldCharType="begin"/>
            </w:r>
            <w:r>
              <w:rPr>
                <w:noProof/>
                <w:webHidden/>
              </w:rPr>
              <w:instrText xml:space="preserve"> PAGEREF _Toc118795173 \h </w:instrText>
            </w:r>
            <w:r>
              <w:rPr>
                <w:noProof/>
                <w:webHidden/>
              </w:rPr>
            </w:r>
            <w:r>
              <w:rPr>
                <w:noProof/>
                <w:webHidden/>
              </w:rPr>
              <w:fldChar w:fldCharType="separate"/>
            </w:r>
            <w:r>
              <w:rPr>
                <w:noProof/>
                <w:webHidden/>
              </w:rPr>
              <w:t>6</w:t>
            </w:r>
            <w:r>
              <w:rPr>
                <w:noProof/>
                <w:webHidden/>
              </w:rPr>
              <w:fldChar w:fldCharType="end"/>
            </w:r>
          </w:hyperlink>
        </w:p>
        <w:p w14:paraId="49A06F4A" w14:textId="79875BC0" w:rsidR="003C037A" w:rsidRDefault="003C037A">
          <w:pPr>
            <w:pStyle w:val="Innehll2"/>
            <w:tabs>
              <w:tab w:val="right" w:leader="dot" w:pos="9063"/>
            </w:tabs>
            <w:rPr>
              <w:rFonts w:eastAsiaTheme="minorEastAsia"/>
              <w:noProof/>
              <w:lang w:eastAsia="sv-SE"/>
            </w:rPr>
          </w:pPr>
          <w:hyperlink w:anchor="_Toc118795174" w:history="1">
            <w:r w:rsidRPr="0032217F">
              <w:rPr>
                <w:rStyle w:val="Hyperlnk"/>
                <w:noProof/>
                <w:color w:val="000000" w:themeColor="text1"/>
              </w:rPr>
              <w:t>2.2 Nytta eller risker för individen</w:t>
            </w:r>
            <w:r>
              <w:rPr>
                <w:noProof/>
                <w:webHidden/>
              </w:rPr>
              <w:tab/>
            </w:r>
            <w:r>
              <w:rPr>
                <w:noProof/>
                <w:webHidden/>
              </w:rPr>
              <w:fldChar w:fldCharType="begin"/>
            </w:r>
            <w:r>
              <w:rPr>
                <w:noProof/>
                <w:webHidden/>
              </w:rPr>
              <w:instrText xml:space="preserve"> PAGEREF _Toc118795174 \h </w:instrText>
            </w:r>
            <w:r>
              <w:rPr>
                <w:noProof/>
                <w:webHidden/>
              </w:rPr>
            </w:r>
            <w:r>
              <w:rPr>
                <w:noProof/>
                <w:webHidden/>
              </w:rPr>
              <w:fldChar w:fldCharType="separate"/>
            </w:r>
            <w:r>
              <w:rPr>
                <w:noProof/>
                <w:webHidden/>
              </w:rPr>
              <w:t>6</w:t>
            </w:r>
            <w:r>
              <w:rPr>
                <w:noProof/>
                <w:webHidden/>
              </w:rPr>
              <w:fldChar w:fldCharType="end"/>
            </w:r>
          </w:hyperlink>
        </w:p>
        <w:p w14:paraId="2ADA3A6F" w14:textId="59D1923B" w:rsidR="003C037A" w:rsidRDefault="003C037A">
          <w:pPr>
            <w:pStyle w:val="Innehll2"/>
            <w:tabs>
              <w:tab w:val="right" w:leader="dot" w:pos="9063"/>
            </w:tabs>
            <w:rPr>
              <w:rFonts w:eastAsiaTheme="minorEastAsia"/>
              <w:noProof/>
              <w:lang w:eastAsia="sv-SE"/>
            </w:rPr>
          </w:pPr>
          <w:hyperlink w:anchor="_Toc118795175" w:history="1">
            <w:r w:rsidRPr="009E37DA">
              <w:rPr>
                <w:rStyle w:val="Hyperlnk"/>
                <w:noProof/>
                <w:color w:val="000000" w:themeColor="text1"/>
              </w:rPr>
              <w:t>2.3 Etiska aspekter</w:t>
            </w:r>
            <w:r>
              <w:rPr>
                <w:noProof/>
                <w:webHidden/>
              </w:rPr>
              <w:tab/>
            </w:r>
            <w:r>
              <w:rPr>
                <w:noProof/>
                <w:webHidden/>
              </w:rPr>
              <w:fldChar w:fldCharType="begin"/>
            </w:r>
            <w:r>
              <w:rPr>
                <w:noProof/>
                <w:webHidden/>
              </w:rPr>
              <w:instrText xml:space="preserve"> PAGEREF _Toc118795175 \h </w:instrText>
            </w:r>
            <w:r>
              <w:rPr>
                <w:noProof/>
                <w:webHidden/>
              </w:rPr>
            </w:r>
            <w:r>
              <w:rPr>
                <w:noProof/>
                <w:webHidden/>
              </w:rPr>
              <w:fldChar w:fldCharType="separate"/>
            </w:r>
            <w:r>
              <w:rPr>
                <w:noProof/>
                <w:webHidden/>
              </w:rPr>
              <w:t>6</w:t>
            </w:r>
            <w:r>
              <w:rPr>
                <w:noProof/>
                <w:webHidden/>
              </w:rPr>
              <w:fldChar w:fldCharType="end"/>
            </w:r>
          </w:hyperlink>
        </w:p>
        <w:p w14:paraId="110071EB" w14:textId="21EA303A" w:rsidR="003C037A" w:rsidRDefault="003C037A">
          <w:pPr>
            <w:pStyle w:val="Innehll2"/>
            <w:tabs>
              <w:tab w:val="right" w:leader="dot" w:pos="9063"/>
            </w:tabs>
            <w:rPr>
              <w:rFonts w:eastAsiaTheme="minorEastAsia"/>
              <w:noProof/>
              <w:lang w:eastAsia="sv-SE"/>
            </w:rPr>
          </w:pPr>
          <w:hyperlink w:anchor="_Toc118795176" w:history="1">
            <w:r w:rsidRPr="00E0037C">
              <w:rPr>
                <w:rStyle w:val="Hyperlnk"/>
                <w:noProof/>
              </w:rPr>
              <w:t>2.4 Verksamhet och organisation</w:t>
            </w:r>
            <w:r>
              <w:rPr>
                <w:noProof/>
                <w:webHidden/>
              </w:rPr>
              <w:tab/>
            </w:r>
            <w:r>
              <w:rPr>
                <w:noProof/>
                <w:webHidden/>
              </w:rPr>
              <w:fldChar w:fldCharType="begin"/>
            </w:r>
            <w:r>
              <w:rPr>
                <w:noProof/>
                <w:webHidden/>
              </w:rPr>
              <w:instrText xml:space="preserve"> PAGEREF _Toc118795176 \h </w:instrText>
            </w:r>
            <w:r>
              <w:rPr>
                <w:noProof/>
                <w:webHidden/>
              </w:rPr>
            </w:r>
            <w:r>
              <w:rPr>
                <w:noProof/>
                <w:webHidden/>
              </w:rPr>
              <w:fldChar w:fldCharType="separate"/>
            </w:r>
            <w:r>
              <w:rPr>
                <w:noProof/>
                <w:webHidden/>
              </w:rPr>
              <w:t>7</w:t>
            </w:r>
            <w:r>
              <w:rPr>
                <w:noProof/>
                <w:webHidden/>
              </w:rPr>
              <w:fldChar w:fldCharType="end"/>
            </w:r>
          </w:hyperlink>
        </w:p>
        <w:p w14:paraId="591F03AF" w14:textId="33304F5D" w:rsidR="003C037A" w:rsidRDefault="003C037A">
          <w:pPr>
            <w:pStyle w:val="Innehll2"/>
            <w:tabs>
              <w:tab w:val="right" w:leader="dot" w:pos="9063"/>
            </w:tabs>
            <w:rPr>
              <w:rFonts w:eastAsiaTheme="minorEastAsia"/>
              <w:noProof/>
              <w:lang w:eastAsia="sv-SE"/>
            </w:rPr>
          </w:pPr>
          <w:hyperlink w:anchor="_Toc118795177" w:history="1">
            <w:r w:rsidRPr="00E0037C">
              <w:rPr>
                <w:rStyle w:val="Hyperlnk"/>
                <w:noProof/>
              </w:rPr>
              <w:t>2.5 Kostnader</w:t>
            </w:r>
            <w:r>
              <w:rPr>
                <w:noProof/>
                <w:webHidden/>
              </w:rPr>
              <w:tab/>
            </w:r>
            <w:r>
              <w:rPr>
                <w:noProof/>
                <w:webHidden/>
              </w:rPr>
              <w:fldChar w:fldCharType="begin"/>
            </w:r>
            <w:r>
              <w:rPr>
                <w:noProof/>
                <w:webHidden/>
              </w:rPr>
              <w:instrText xml:space="preserve"> PAGEREF _Toc118795177 \h </w:instrText>
            </w:r>
            <w:r>
              <w:rPr>
                <w:noProof/>
                <w:webHidden/>
              </w:rPr>
            </w:r>
            <w:r>
              <w:rPr>
                <w:noProof/>
                <w:webHidden/>
              </w:rPr>
              <w:fldChar w:fldCharType="separate"/>
            </w:r>
            <w:r>
              <w:rPr>
                <w:noProof/>
                <w:webHidden/>
              </w:rPr>
              <w:t>7</w:t>
            </w:r>
            <w:r>
              <w:rPr>
                <w:noProof/>
                <w:webHidden/>
              </w:rPr>
              <w:fldChar w:fldCharType="end"/>
            </w:r>
          </w:hyperlink>
        </w:p>
        <w:p w14:paraId="15DD3D13" w14:textId="01FCDB41" w:rsidR="003C037A" w:rsidRDefault="003C037A">
          <w:pPr>
            <w:pStyle w:val="Innehll2"/>
            <w:tabs>
              <w:tab w:val="right" w:leader="dot" w:pos="9063"/>
            </w:tabs>
            <w:rPr>
              <w:rFonts w:eastAsiaTheme="minorEastAsia"/>
              <w:noProof/>
              <w:lang w:eastAsia="sv-SE"/>
            </w:rPr>
          </w:pPr>
          <w:hyperlink w:anchor="_Toc118795178" w:history="1">
            <w:r w:rsidRPr="00E0037C">
              <w:rPr>
                <w:rStyle w:val="Hyperlnk"/>
                <w:noProof/>
              </w:rPr>
              <w:t>2.6 Kompetensförsörjning</w:t>
            </w:r>
            <w:r>
              <w:rPr>
                <w:noProof/>
                <w:webHidden/>
              </w:rPr>
              <w:tab/>
            </w:r>
            <w:r>
              <w:rPr>
                <w:noProof/>
                <w:webHidden/>
              </w:rPr>
              <w:fldChar w:fldCharType="begin"/>
            </w:r>
            <w:r>
              <w:rPr>
                <w:noProof/>
                <w:webHidden/>
              </w:rPr>
              <w:instrText xml:space="preserve"> PAGEREF _Toc118795178 \h </w:instrText>
            </w:r>
            <w:r>
              <w:rPr>
                <w:noProof/>
                <w:webHidden/>
              </w:rPr>
            </w:r>
            <w:r>
              <w:rPr>
                <w:noProof/>
                <w:webHidden/>
              </w:rPr>
              <w:fldChar w:fldCharType="separate"/>
            </w:r>
            <w:r>
              <w:rPr>
                <w:noProof/>
                <w:webHidden/>
              </w:rPr>
              <w:t>7</w:t>
            </w:r>
            <w:r>
              <w:rPr>
                <w:noProof/>
                <w:webHidden/>
              </w:rPr>
              <w:fldChar w:fldCharType="end"/>
            </w:r>
          </w:hyperlink>
        </w:p>
        <w:p w14:paraId="637CB5FA" w14:textId="64654CE8" w:rsidR="003C037A" w:rsidRDefault="003C037A">
          <w:pPr>
            <w:pStyle w:val="Innehll2"/>
            <w:tabs>
              <w:tab w:val="right" w:leader="dot" w:pos="9063"/>
            </w:tabs>
            <w:rPr>
              <w:rFonts w:eastAsiaTheme="minorEastAsia"/>
              <w:noProof/>
              <w:lang w:eastAsia="sv-SE"/>
            </w:rPr>
          </w:pPr>
          <w:hyperlink w:anchor="_Toc118795179" w:history="1">
            <w:r w:rsidRPr="00E0037C">
              <w:rPr>
                <w:rStyle w:val="Hyperlnk"/>
                <w:noProof/>
              </w:rPr>
              <w:t>2.7 Påverkan på andra kunskapsstöd</w:t>
            </w:r>
            <w:r>
              <w:rPr>
                <w:noProof/>
                <w:webHidden/>
              </w:rPr>
              <w:tab/>
            </w:r>
            <w:r>
              <w:rPr>
                <w:noProof/>
                <w:webHidden/>
              </w:rPr>
              <w:fldChar w:fldCharType="begin"/>
            </w:r>
            <w:r>
              <w:rPr>
                <w:noProof/>
                <w:webHidden/>
              </w:rPr>
              <w:instrText xml:space="preserve"> PAGEREF _Toc118795179 \h </w:instrText>
            </w:r>
            <w:r>
              <w:rPr>
                <w:noProof/>
                <w:webHidden/>
              </w:rPr>
            </w:r>
            <w:r>
              <w:rPr>
                <w:noProof/>
                <w:webHidden/>
              </w:rPr>
              <w:fldChar w:fldCharType="separate"/>
            </w:r>
            <w:r>
              <w:rPr>
                <w:noProof/>
                <w:webHidden/>
              </w:rPr>
              <w:t>8</w:t>
            </w:r>
            <w:r>
              <w:rPr>
                <w:noProof/>
                <w:webHidden/>
              </w:rPr>
              <w:fldChar w:fldCharType="end"/>
            </w:r>
          </w:hyperlink>
        </w:p>
        <w:p w14:paraId="425E1AE0" w14:textId="364B0A79" w:rsidR="003C037A" w:rsidRDefault="003C037A">
          <w:pPr>
            <w:pStyle w:val="Innehll2"/>
            <w:tabs>
              <w:tab w:val="right" w:leader="dot" w:pos="9063"/>
            </w:tabs>
            <w:rPr>
              <w:rFonts w:eastAsiaTheme="minorEastAsia"/>
              <w:noProof/>
              <w:lang w:eastAsia="sv-SE"/>
            </w:rPr>
          </w:pPr>
          <w:hyperlink w:anchor="_Toc118795180" w:history="1">
            <w:r w:rsidRPr="00E0037C">
              <w:rPr>
                <w:rStyle w:val="Hyperlnk"/>
                <w:noProof/>
              </w:rPr>
              <w:t>2.8 Påverkan på andra nyckelfrågor i hälso- och sjukvården</w:t>
            </w:r>
            <w:r>
              <w:rPr>
                <w:noProof/>
                <w:webHidden/>
              </w:rPr>
              <w:tab/>
            </w:r>
            <w:r>
              <w:rPr>
                <w:noProof/>
                <w:webHidden/>
              </w:rPr>
              <w:fldChar w:fldCharType="begin"/>
            </w:r>
            <w:r>
              <w:rPr>
                <w:noProof/>
                <w:webHidden/>
              </w:rPr>
              <w:instrText xml:space="preserve"> PAGEREF _Toc118795180 \h </w:instrText>
            </w:r>
            <w:r>
              <w:rPr>
                <w:noProof/>
                <w:webHidden/>
              </w:rPr>
            </w:r>
            <w:r>
              <w:rPr>
                <w:noProof/>
                <w:webHidden/>
              </w:rPr>
              <w:fldChar w:fldCharType="separate"/>
            </w:r>
            <w:r>
              <w:rPr>
                <w:noProof/>
                <w:webHidden/>
              </w:rPr>
              <w:t>8</w:t>
            </w:r>
            <w:r>
              <w:rPr>
                <w:noProof/>
                <w:webHidden/>
              </w:rPr>
              <w:fldChar w:fldCharType="end"/>
            </w:r>
          </w:hyperlink>
        </w:p>
        <w:p w14:paraId="2F39E229" w14:textId="25AEF127" w:rsidR="003C037A" w:rsidRDefault="003C037A">
          <w:pPr>
            <w:pStyle w:val="Innehll2"/>
            <w:tabs>
              <w:tab w:val="right" w:leader="dot" w:pos="9063"/>
            </w:tabs>
            <w:rPr>
              <w:rFonts w:eastAsiaTheme="minorEastAsia"/>
              <w:noProof/>
              <w:lang w:eastAsia="sv-SE"/>
            </w:rPr>
          </w:pPr>
          <w:hyperlink w:anchor="_Toc118795181" w:history="1">
            <w:r w:rsidRPr="00E0037C">
              <w:rPr>
                <w:rStyle w:val="Hyperlnk"/>
                <w:noProof/>
              </w:rPr>
              <w:t>2.9 Uppföljning</w:t>
            </w:r>
            <w:r>
              <w:rPr>
                <w:noProof/>
                <w:webHidden/>
              </w:rPr>
              <w:tab/>
            </w:r>
            <w:r>
              <w:rPr>
                <w:noProof/>
                <w:webHidden/>
              </w:rPr>
              <w:fldChar w:fldCharType="begin"/>
            </w:r>
            <w:r>
              <w:rPr>
                <w:noProof/>
                <w:webHidden/>
              </w:rPr>
              <w:instrText xml:space="preserve"> PAGEREF _Toc118795181 \h </w:instrText>
            </w:r>
            <w:r>
              <w:rPr>
                <w:noProof/>
                <w:webHidden/>
              </w:rPr>
            </w:r>
            <w:r>
              <w:rPr>
                <w:noProof/>
                <w:webHidden/>
              </w:rPr>
              <w:fldChar w:fldCharType="separate"/>
            </w:r>
            <w:r>
              <w:rPr>
                <w:noProof/>
                <w:webHidden/>
              </w:rPr>
              <w:t>8</w:t>
            </w:r>
            <w:r>
              <w:rPr>
                <w:noProof/>
                <w:webHidden/>
              </w:rPr>
              <w:fldChar w:fldCharType="end"/>
            </w:r>
          </w:hyperlink>
        </w:p>
        <w:p w14:paraId="5AA6101E" w14:textId="080A434F" w:rsidR="003C037A" w:rsidRDefault="003C037A">
          <w:pPr>
            <w:pStyle w:val="Innehll2"/>
            <w:tabs>
              <w:tab w:val="right" w:leader="dot" w:pos="9063"/>
            </w:tabs>
            <w:rPr>
              <w:rFonts w:eastAsiaTheme="minorEastAsia"/>
              <w:noProof/>
              <w:lang w:eastAsia="sv-SE"/>
            </w:rPr>
          </w:pPr>
          <w:hyperlink w:anchor="_Toc118795182" w:history="1">
            <w:r w:rsidRPr="00E0037C">
              <w:rPr>
                <w:rStyle w:val="Hyperlnk"/>
                <w:noProof/>
              </w:rPr>
              <w:t>2.10 Övriga konsekvenser</w:t>
            </w:r>
            <w:r>
              <w:rPr>
                <w:noProof/>
                <w:webHidden/>
              </w:rPr>
              <w:tab/>
            </w:r>
            <w:r>
              <w:rPr>
                <w:noProof/>
                <w:webHidden/>
              </w:rPr>
              <w:fldChar w:fldCharType="begin"/>
            </w:r>
            <w:r>
              <w:rPr>
                <w:noProof/>
                <w:webHidden/>
              </w:rPr>
              <w:instrText xml:space="preserve"> PAGEREF _Toc118795182 \h </w:instrText>
            </w:r>
            <w:r>
              <w:rPr>
                <w:noProof/>
                <w:webHidden/>
              </w:rPr>
            </w:r>
            <w:r>
              <w:rPr>
                <w:noProof/>
                <w:webHidden/>
              </w:rPr>
              <w:fldChar w:fldCharType="separate"/>
            </w:r>
            <w:r>
              <w:rPr>
                <w:noProof/>
                <w:webHidden/>
              </w:rPr>
              <w:t>8</w:t>
            </w:r>
            <w:r>
              <w:rPr>
                <w:noProof/>
                <w:webHidden/>
              </w:rPr>
              <w:fldChar w:fldCharType="end"/>
            </w:r>
          </w:hyperlink>
        </w:p>
        <w:p w14:paraId="2FC524D8" w14:textId="30DE718F" w:rsidR="003C037A" w:rsidRDefault="003C037A">
          <w:pPr>
            <w:pStyle w:val="Innehll1"/>
            <w:tabs>
              <w:tab w:val="right" w:leader="dot" w:pos="9063"/>
            </w:tabs>
            <w:rPr>
              <w:rFonts w:eastAsiaTheme="minorEastAsia"/>
              <w:noProof/>
              <w:lang w:eastAsia="sv-SE"/>
            </w:rPr>
          </w:pPr>
          <w:hyperlink w:anchor="_Toc118795183" w:history="1">
            <w:r w:rsidRPr="00E0037C">
              <w:rPr>
                <w:rStyle w:val="Hyperlnk"/>
                <w:noProof/>
              </w:rPr>
              <w:t>Referenser</w:t>
            </w:r>
            <w:r>
              <w:rPr>
                <w:noProof/>
                <w:webHidden/>
              </w:rPr>
              <w:tab/>
            </w:r>
            <w:r>
              <w:rPr>
                <w:noProof/>
                <w:webHidden/>
              </w:rPr>
              <w:fldChar w:fldCharType="begin"/>
            </w:r>
            <w:r>
              <w:rPr>
                <w:noProof/>
                <w:webHidden/>
              </w:rPr>
              <w:instrText xml:space="preserve"> PAGEREF _Toc118795183 \h </w:instrText>
            </w:r>
            <w:r>
              <w:rPr>
                <w:noProof/>
                <w:webHidden/>
              </w:rPr>
            </w:r>
            <w:r>
              <w:rPr>
                <w:noProof/>
                <w:webHidden/>
              </w:rPr>
              <w:fldChar w:fldCharType="separate"/>
            </w:r>
            <w:r>
              <w:rPr>
                <w:noProof/>
                <w:webHidden/>
              </w:rPr>
              <w:t>9</w:t>
            </w:r>
            <w:r>
              <w:rPr>
                <w:noProof/>
                <w:webHidden/>
              </w:rPr>
              <w:fldChar w:fldCharType="end"/>
            </w:r>
          </w:hyperlink>
        </w:p>
        <w:p w14:paraId="7547D99E" w14:textId="3923330F" w:rsidR="00371E99" w:rsidRDefault="00E01C95">
          <w:pPr>
            <w:rPr>
              <w:b/>
              <w:bCs/>
            </w:rPr>
          </w:pPr>
          <w:r w:rsidRPr="00E01C95">
            <w:rPr>
              <w:b/>
              <w:bCs/>
              <w:color w:val="000000" w:themeColor="text1"/>
              <w:sz w:val="24"/>
              <w:szCs w:val="24"/>
            </w:rPr>
            <w:fldChar w:fldCharType="end"/>
          </w:r>
        </w:p>
      </w:sdtContent>
    </w:sdt>
    <w:p w14:paraId="60747A48" w14:textId="3DA03290" w:rsidR="007B4400" w:rsidRPr="00371E99" w:rsidRDefault="007B4400">
      <w:pPr>
        <w:rPr>
          <w:b/>
          <w:bCs/>
        </w:rPr>
      </w:pPr>
      <w:r>
        <w:rPr>
          <w:b/>
          <w:sz w:val="28"/>
          <w:szCs w:val="28"/>
        </w:rPr>
        <w:br w:type="page"/>
      </w:r>
    </w:p>
    <w:p w14:paraId="6F840DF8" w14:textId="77777777" w:rsidR="00DA0A26" w:rsidRDefault="00DA0A26" w:rsidP="009B3432">
      <w:pPr>
        <w:pStyle w:val="Rubrik1"/>
      </w:pPr>
      <w:bookmarkStart w:id="6" w:name="_Toc118795165"/>
      <w:r w:rsidRPr="009B3432">
        <w:lastRenderedPageBreak/>
        <w:t>Sammanfattning</w:t>
      </w:r>
      <w:bookmarkEnd w:id="6"/>
    </w:p>
    <w:p w14:paraId="77F2D41F" w14:textId="31CF223A" w:rsidR="008C7933" w:rsidRPr="00200889" w:rsidRDefault="008C7933" w:rsidP="00450B40">
      <w:bookmarkStart w:id="7" w:name="_Toc22575665"/>
      <w:r w:rsidRPr="00200889">
        <w:t>Målet med de framtagna riktlinje</w:t>
      </w:r>
      <w:r w:rsidR="00E25304">
        <w:t>rna</w:t>
      </w:r>
      <w:r w:rsidRPr="00200889">
        <w:t xml:space="preserve"> är att erbjuda personer med risk för eller etablerad glaukomsjukdom likvärdig handläggning och vård i landet oavsett var man bor. </w:t>
      </w:r>
    </w:p>
    <w:p w14:paraId="39C09502" w14:textId="78239AF9" w:rsidR="008C7933" w:rsidRPr="00200889" w:rsidRDefault="008C7933" w:rsidP="00450B40">
      <w:r w:rsidRPr="00200889">
        <w:t>Riktlinje</w:t>
      </w:r>
      <w:r w:rsidR="000E3633">
        <w:t>rna</w:t>
      </w:r>
      <w:r w:rsidRPr="00200889">
        <w:t xml:space="preserve"> är baserad</w:t>
      </w:r>
      <w:r w:rsidR="000E3633">
        <w:t>e</w:t>
      </w:r>
      <w:r w:rsidRPr="00200889">
        <w:t xml:space="preserve"> på evidensgraderade internationella riktlinjer – de nya europeiska</w:t>
      </w:r>
      <w:r w:rsidR="00A963F7">
        <w:t xml:space="preserve"> </w:t>
      </w:r>
      <w:r w:rsidR="0052387C">
        <w:t>[1]</w:t>
      </w:r>
      <w:r w:rsidRPr="00200889">
        <w:t>, de finska</w:t>
      </w:r>
      <w:r w:rsidR="0052387C">
        <w:t xml:space="preserve"> [</w:t>
      </w:r>
      <w:r w:rsidR="00942FEF">
        <w:t xml:space="preserve">2], </w:t>
      </w:r>
      <w:r w:rsidRPr="00200889">
        <w:t>våra tidigare svenska</w:t>
      </w:r>
      <w:r w:rsidR="00101F3A">
        <w:t xml:space="preserve"> </w:t>
      </w:r>
      <w:r w:rsidR="008B66F8">
        <w:t>[3] och</w:t>
      </w:r>
      <w:r w:rsidRPr="00200889">
        <w:t xml:space="preserve"> litteraturgenomgångar. Vid bristande evidens har gruppen diskuterat sig fram till konsensus gällande bästa kliniska praxis grundat på regionrepresentanternas stora kliniska erfarenhet.</w:t>
      </w:r>
    </w:p>
    <w:p w14:paraId="2C214F5C" w14:textId="0E4C1F43" w:rsidR="008C7933" w:rsidRPr="00200889" w:rsidRDefault="008C7933" w:rsidP="00450B40">
      <w:r w:rsidRPr="00200889">
        <w:t>De nya riktlinje</w:t>
      </w:r>
      <w:r w:rsidR="000E3633">
        <w:t>rna</w:t>
      </w:r>
      <w:r w:rsidRPr="00200889">
        <w:t xml:space="preserve"> är avsedd</w:t>
      </w:r>
      <w:r w:rsidR="000E3633">
        <w:t>a</w:t>
      </w:r>
      <w:r w:rsidRPr="00200889">
        <w:t xml:space="preserve"> att ge en mer lättolkad och entydig bild av vad som ska kontrolleras, när kontroller ska ske och behandling justeras. De är avsedda att i högre utsträckning likrikta och tydliggöra handläggande</w:t>
      </w:r>
      <w:r w:rsidR="007E6EAF">
        <w:t xml:space="preserve"> över landet</w:t>
      </w:r>
      <w:r w:rsidRPr="00200889">
        <w:t>, men de skiljer sig inte i stora drag från föregående Riktlinjer för Glaukomsjukvården, 2010</w:t>
      </w:r>
      <w:r w:rsidR="00101F3A">
        <w:rPr>
          <w:vertAlign w:val="superscript"/>
        </w:rPr>
        <w:t xml:space="preserve"> </w:t>
      </w:r>
      <w:r w:rsidR="00101F3A">
        <w:t>[3]</w:t>
      </w:r>
      <w:r w:rsidRPr="00200889">
        <w:t>. Förhoppningen är dock att de nya riktlinje</w:t>
      </w:r>
      <w:r w:rsidR="00C22FF8">
        <w:t>rna</w:t>
      </w:r>
      <w:r w:rsidRPr="00200889">
        <w:t xml:space="preserve"> ska vara mer styrande och efterlevas i högre grad</w:t>
      </w:r>
      <w:r w:rsidR="00DB5DB1">
        <w:t xml:space="preserve">. Det </w:t>
      </w:r>
      <w:r w:rsidR="006977E5">
        <w:t xml:space="preserve">kommer </w:t>
      </w:r>
      <w:r w:rsidRPr="00200889">
        <w:t>sannolikt att medföra att resurser måste allokeras alternativt omfördelas till glaukomområdet</w:t>
      </w:r>
      <w:r w:rsidR="006977E5">
        <w:t xml:space="preserve">, </w:t>
      </w:r>
      <w:r w:rsidR="006977E5" w:rsidRPr="00200889">
        <w:t>i olika utsträckning beroende på nuvarande standard på lokal nivå</w:t>
      </w:r>
      <w:r w:rsidR="009B2270">
        <w:t>.</w:t>
      </w:r>
    </w:p>
    <w:p w14:paraId="2D535241" w14:textId="77777777" w:rsidR="00DA0A26" w:rsidRPr="00036251" w:rsidRDefault="00DA0A26" w:rsidP="009540A2">
      <w:pPr>
        <w:pStyle w:val="Rubrik1Numrerad"/>
      </w:pPr>
      <w:bookmarkStart w:id="8" w:name="_Toc118795166"/>
      <w:r w:rsidRPr="00036251">
        <w:t>Om konsekvensbeskrivningen</w:t>
      </w:r>
      <w:bookmarkEnd w:id="7"/>
      <w:bookmarkEnd w:id="8"/>
    </w:p>
    <w:p w14:paraId="734FF5B2" w14:textId="0EDFFC45" w:rsidR="00CA20F9" w:rsidRPr="00C05C65" w:rsidRDefault="00CA20F9" w:rsidP="00450B40">
      <w:bookmarkStart w:id="9" w:name="_Toc22575666"/>
      <w:r w:rsidRPr="00C05C65">
        <w:t>Konsekvensbeskrivningen är utarbetad av NAG Glaukom och färdigställdes 2021-12-09. Ansvarig är NAG Glaukoms ordförande Christina Lindén, Norra sjukvårdsregionen</w:t>
      </w:r>
      <w:r>
        <w:t xml:space="preserve"> </w:t>
      </w:r>
      <w:r w:rsidR="00631B6A">
        <w:t>och</w:t>
      </w:r>
      <w:r w:rsidRPr="00C301B1">
        <w:t xml:space="preserve"> övriga</w:t>
      </w:r>
      <w:r w:rsidRPr="00C05C65">
        <w:t xml:space="preserve"> i arbetsgruppen</w:t>
      </w:r>
      <w:r w:rsidR="00FC14C1">
        <w:t xml:space="preserve">. Dessa är </w:t>
      </w:r>
      <w:r w:rsidRPr="00C05C65">
        <w:t xml:space="preserve">Gauti Jóhannesson Norra sjukvårdsregionen, Ulf Stille Uppsala/Örebro, Amelie Botling Taube Stockholm/Gotland, Markus Karlsson Sydöstra, Lada Kalaboukhova Västra Götaland samt Anders Bergström och Dorothea Peters från Södra sjukvårdsregionen. </w:t>
      </w:r>
    </w:p>
    <w:p w14:paraId="5D91A77F" w14:textId="77777777" w:rsidR="00CA20F9" w:rsidRPr="00C05C65" w:rsidRDefault="00CA20F9" w:rsidP="00450B40">
      <w:r w:rsidRPr="00C05C65">
        <w:t>Samtliga representanter har deltagit i arbetet och godkänt det slutliga förslaget.</w:t>
      </w:r>
    </w:p>
    <w:p w14:paraId="1003C6BF" w14:textId="77777777" w:rsidR="00DA0A26" w:rsidRDefault="00DA0A26" w:rsidP="009B3432">
      <w:pPr>
        <w:pStyle w:val="Rubrik1Numrerad"/>
      </w:pPr>
      <w:bookmarkStart w:id="10" w:name="_Toc118795167"/>
      <w:r w:rsidRPr="005C3969">
        <w:t>Konsekvenser</w:t>
      </w:r>
      <w:bookmarkEnd w:id="9"/>
      <w:bookmarkEnd w:id="10"/>
    </w:p>
    <w:p w14:paraId="7BEC389E" w14:textId="0E1C698B" w:rsidR="00DA0A26" w:rsidRPr="00371E99" w:rsidRDefault="00371E99" w:rsidP="00A32934">
      <w:pPr>
        <w:pStyle w:val="Rubrik2Numrerad"/>
        <w:numPr>
          <w:ilvl w:val="0"/>
          <w:numId w:val="0"/>
        </w:numPr>
        <w:ind w:left="907" w:hanging="907"/>
      </w:pPr>
      <w:bookmarkStart w:id="11" w:name="_Toc22575667"/>
      <w:bookmarkStart w:id="12" w:name="_Toc118795168"/>
      <w:r w:rsidRPr="00371E99">
        <w:t xml:space="preserve">2.1 </w:t>
      </w:r>
      <w:r w:rsidR="00DA0A26" w:rsidRPr="00371E99">
        <w:t>Omfatt</w:t>
      </w:r>
      <w:r w:rsidR="00A32934">
        <w:t>n</w:t>
      </w:r>
      <w:r w:rsidR="00DA0A26" w:rsidRPr="00371E99">
        <w:t>ing</w:t>
      </w:r>
      <w:bookmarkEnd w:id="11"/>
      <w:bookmarkEnd w:id="12"/>
    </w:p>
    <w:p w14:paraId="430B27F4" w14:textId="77777777" w:rsidR="00450B40" w:rsidRDefault="00882BD3" w:rsidP="00450B40">
      <w:pPr>
        <w:pStyle w:val="Rubrik3"/>
      </w:pPr>
      <w:bookmarkStart w:id="13" w:name="_Toc118795169"/>
      <w:bookmarkStart w:id="14" w:name="_Toc22575668"/>
      <w:r w:rsidRPr="00450B40">
        <w:t>Prevalens</w:t>
      </w:r>
      <w:bookmarkEnd w:id="13"/>
    </w:p>
    <w:p w14:paraId="6C7095D7" w14:textId="79E629BF" w:rsidR="00882BD3" w:rsidRPr="00C05C65" w:rsidRDefault="00882BD3" w:rsidP="00450B40">
      <w:r w:rsidRPr="00C05C65">
        <w:t>Kroniskt öppenvinkelglaukom drabbar oftast äldre personer och är ovanligt före 40–50 års ålder. Prevalensen ökar exponentiellt med ökande ålder</w:t>
      </w:r>
      <w:r w:rsidR="00905F92">
        <w:t xml:space="preserve"> [4]</w:t>
      </w:r>
      <w:r w:rsidRPr="00C05C65">
        <w:t>. I en stor svensk studie</w:t>
      </w:r>
      <w:r w:rsidR="00E30A09">
        <w:t xml:space="preserve">, </w:t>
      </w:r>
      <w:r w:rsidRPr="00C05C65">
        <w:t>Malmö Eye Survey</w:t>
      </w:r>
      <w:r w:rsidR="00E30A09">
        <w:t>,</w:t>
      </w:r>
      <w:r w:rsidRPr="00C05C65">
        <w:t xml:space="preserve"> var prevalensen glaukom drygt 5 </w:t>
      </w:r>
      <w:r w:rsidR="00964FA0">
        <w:t>%</w:t>
      </w:r>
      <w:r w:rsidRPr="00C05C65">
        <w:t xml:space="preserve"> vid 75 års ålder eller drygt 2 </w:t>
      </w:r>
      <w:r w:rsidR="00DD1B9E">
        <w:t>%</w:t>
      </w:r>
      <w:r w:rsidRPr="00C05C65">
        <w:t xml:space="preserve"> i åldrarna 57–79 år</w:t>
      </w:r>
      <w:r w:rsidR="00E30A09">
        <w:rPr>
          <w:vertAlign w:val="superscript"/>
        </w:rPr>
        <w:t xml:space="preserve"> </w:t>
      </w:r>
      <w:r w:rsidR="00E30A09">
        <w:t>[3]</w:t>
      </w:r>
      <w:r w:rsidR="00BC2EF5">
        <w:t>.</w:t>
      </w:r>
      <w:r w:rsidRPr="00C05C65">
        <w:t xml:space="preserve"> </w:t>
      </w:r>
      <w:r w:rsidR="00BC2EF5">
        <w:t>M</w:t>
      </w:r>
      <w:r w:rsidRPr="00C05C65">
        <w:t>en i andra mindre omfattande svenska studier redovisa</w:t>
      </w:r>
      <w:r>
        <w:t>s</w:t>
      </w:r>
      <w:r w:rsidRPr="00C05C65">
        <w:t xml:space="preserve"> både lägre</w:t>
      </w:r>
      <w:r w:rsidR="00BC2EF5">
        <w:rPr>
          <w:vertAlign w:val="superscript"/>
        </w:rPr>
        <w:t xml:space="preserve"> </w:t>
      </w:r>
      <w:r w:rsidR="00BC2EF5">
        <w:t>[5]</w:t>
      </w:r>
      <w:r w:rsidRPr="00C05C65">
        <w:t xml:space="preserve"> och betydligt högre</w:t>
      </w:r>
      <w:r w:rsidR="00BC2EF5">
        <w:t xml:space="preserve"> [6, 7]</w:t>
      </w:r>
      <w:r w:rsidRPr="00C538ED">
        <w:rPr>
          <w:vertAlign w:val="superscript"/>
        </w:rPr>
        <w:t xml:space="preserve"> </w:t>
      </w:r>
      <w:r w:rsidRPr="00C05C65">
        <w:t>prevalens. En möjlig förklaring till skillnaderna skulle kunna vara varierande förekomst av exfoliationer i populationen.</w:t>
      </w:r>
      <w:r w:rsidRPr="00C05C65">
        <w:br/>
      </w:r>
      <w:r w:rsidRPr="00C05C65">
        <w:br/>
      </w:r>
      <w:r w:rsidRPr="00450B40">
        <w:rPr>
          <w:rStyle w:val="Rubrik3Char"/>
        </w:rPr>
        <w:t>Incidens</w:t>
      </w:r>
      <w:r w:rsidRPr="00C05C65">
        <w:br/>
      </w:r>
      <w:r w:rsidRPr="00565F4D">
        <w:t xml:space="preserve">Då prevalensen ökar exponentiellt med </w:t>
      </w:r>
      <w:r w:rsidR="00727FB4">
        <w:t>stigande</w:t>
      </w:r>
      <w:r w:rsidR="00727FB4" w:rsidRPr="00565F4D">
        <w:t xml:space="preserve"> </w:t>
      </w:r>
      <w:r w:rsidRPr="00565F4D">
        <w:t xml:space="preserve">ålder drar man slutsatsen att också incidensen ökar med </w:t>
      </w:r>
      <w:r w:rsidR="00727FB4">
        <w:t>stigande</w:t>
      </w:r>
      <w:r w:rsidR="00727FB4" w:rsidRPr="00565F4D">
        <w:t xml:space="preserve"> </w:t>
      </w:r>
      <w:r w:rsidRPr="00565F4D">
        <w:t>ålder</w:t>
      </w:r>
      <w:r w:rsidR="00856C44" w:rsidRPr="00565F4D">
        <w:t xml:space="preserve"> [4]</w:t>
      </w:r>
      <w:r w:rsidRPr="00565F4D">
        <w:t xml:space="preserve">. Högre ålder medför således ökad risk att insjukna i glaukom. Det finns få incidensstudier i litteraturen, men flera är svenska. I dessa varierar </w:t>
      </w:r>
      <w:r w:rsidR="0032636A" w:rsidRPr="00565F4D">
        <w:t xml:space="preserve">den </w:t>
      </w:r>
      <w:r w:rsidRPr="00565F4D">
        <w:t>årliga incidensen från 0</w:t>
      </w:r>
      <w:r w:rsidR="005B268F">
        <w:t>,</w:t>
      </w:r>
      <w:r w:rsidRPr="00565F4D">
        <w:t>24</w:t>
      </w:r>
      <w:r w:rsidR="0032636A" w:rsidRPr="00565F4D">
        <w:t xml:space="preserve"> </w:t>
      </w:r>
      <w:r w:rsidRPr="00565F4D">
        <w:t>% hos 65–80-åringar i Dalby</w:t>
      </w:r>
      <w:r w:rsidR="00DE77C3" w:rsidRPr="00565F4D">
        <w:t xml:space="preserve"> [5]</w:t>
      </w:r>
      <w:r w:rsidRPr="00565F4D">
        <w:t xml:space="preserve"> till höga 0,64</w:t>
      </w:r>
      <w:r w:rsidR="00DE77C3" w:rsidRPr="00565F4D">
        <w:t xml:space="preserve"> </w:t>
      </w:r>
      <w:r w:rsidRPr="00565F4D">
        <w:t>% för motsvarande åldersgrupp i Tierp</w:t>
      </w:r>
      <w:r w:rsidR="00DE77C3" w:rsidRPr="00565F4D">
        <w:t xml:space="preserve"> [8] </w:t>
      </w:r>
      <w:r w:rsidRPr="00565F4D">
        <w:t>och 0,9</w:t>
      </w:r>
      <w:r w:rsidR="00DE77C3" w:rsidRPr="00565F4D">
        <w:t xml:space="preserve"> </w:t>
      </w:r>
      <w:r w:rsidRPr="00565F4D">
        <w:t>% hos 66–87-åringar i Skellefteå</w:t>
      </w:r>
      <w:r w:rsidR="00DE77C3" w:rsidRPr="00565F4D">
        <w:t xml:space="preserve"> [9]</w:t>
      </w:r>
      <w:r w:rsidRPr="00565F4D">
        <w:t>. Liknande hög incidens finns bara rapporterad i befolkning</w:t>
      </w:r>
      <w:r w:rsidR="008C7EAD" w:rsidRPr="00565F4D">
        <w:t xml:space="preserve"> </w:t>
      </w:r>
      <w:r w:rsidR="00E51B95">
        <w:t xml:space="preserve">av afrikanskt ursprung </w:t>
      </w:r>
      <w:r w:rsidR="008C7EAD" w:rsidRPr="00565F4D">
        <w:t>[10].</w:t>
      </w:r>
      <w:r w:rsidRPr="00C05C65">
        <w:t xml:space="preserve"> </w:t>
      </w:r>
    </w:p>
    <w:p w14:paraId="363149E0" w14:textId="5690CD86" w:rsidR="00882BD3" w:rsidRPr="00C05C65" w:rsidRDefault="00882BD3" w:rsidP="00565F4D">
      <w:bookmarkStart w:id="15" w:name="_Toc118795170"/>
      <w:r w:rsidRPr="00663FCA">
        <w:rPr>
          <w:rStyle w:val="Rubrik3Char"/>
        </w:rPr>
        <w:lastRenderedPageBreak/>
        <w:t>Antal</w:t>
      </w:r>
      <w:bookmarkEnd w:id="15"/>
      <w:r w:rsidRPr="00C05C65">
        <w:rPr>
          <w:u w:val="single"/>
        </w:rPr>
        <w:t xml:space="preserve"> </w:t>
      </w:r>
      <w:r w:rsidRPr="00C05C65">
        <w:rPr>
          <w:u w:val="single"/>
        </w:rPr>
        <w:br/>
      </w:r>
      <w:r w:rsidRPr="00565F4D">
        <w:t>Antalet personer i Sverige med diagnostiserat glaukom är inte känt, men har länge uppskattats till omkring 100 000. Denna siffra är emellertid extremt osäker. Betydligt fler behandlas med</w:t>
      </w:r>
      <w:r w:rsidRPr="00C05C65">
        <w:t xml:space="preserve"> trycksänkande terapi. Baserat på receptförskrivning i Sverige uppskattades antalet unika </w:t>
      </w:r>
      <w:r w:rsidR="00B90EA4">
        <w:t>personer</w:t>
      </w:r>
      <w:r w:rsidRPr="00C05C65">
        <w:t xml:space="preserve"> som behandlas med ögontryckssänkande droppar till </w:t>
      </w:r>
      <w:r>
        <w:t xml:space="preserve">144 000 år 2008 och </w:t>
      </w:r>
      <w:r w:rsidRPr="00C05C65">
        <w:t>172 000</w:t>
      </w:r>
      <w:r w:rsidRPr="00C05C65">
        <w:rPr>
          <w:b/>
          <w:bCs/>
        </w:rPr>
        <w:t xml:space="preserve"> </w:t>
      </w:r>
      <w:r w:rsidRPr="00C05C65">
        <w:t>år 2017</w:t>
      </w:r>
      <w:r w:rsidR="001D5AE7">
        <w:t xml:space="preserve"> [11]</w:t>
      </w:r>
      <w:r>
        <w:t>, en ökning med nästan 20</w:t>
      </w:r>
      <w:r w:rsidR="001D5AE7">
        <w:t xml:space="preserve"> </w:t>
      </w:r>
      <w:r>
        <w:t>% på 9 år. 2040 förväntas antalet ha ökat ytterligare till 250 000 personer. Således stod 4,3</w:t>
      </w:r>
      <w:r w:rsidR="001D5AE7">
        <w:t xml:space="preserve"> </w:t>
      </w:r>
      <w:r>
        <w:t>% av Sveriges befolkning 50 år</w:t>
      </w:r>
      <w:r w:rsidR="00904131">
        <w:t xml:space="preserve"> eller äldre</w:t>
      </w:r>
      <w:r w:rsidRPr="00C05C65">
        <w:t xml:space="preserve"> </w:t>
      </w:r>
      <w:r>
        <w:t xml:space="preserve">på behandling 2017 och 2040 antar man </w:t>
      </w:r>
      <w:r w:rsidR="0018285F">
        <w:t xml:space="preserve">att </w:t>
      </w:r>
      <w:r>
        <w:t>prevalensen ökat till 5,2</w:t>
      </w:r>
      <w:r w:rsidR="0018285F">
        <w:t xml:space="preserve"> </w:t>
      </w:r>
      <w:r>
        <w:t>%</w:t>
      </w:r>
      <w:r w:rsidR="0018285F">
        <w:t xml:space="preserve"> [11].</w:t>
      </w:r>
      <w:r>
        <w:t xml:space="preserve"> Medellivslängden har också ökat mellan 2008 och 2017 med 1 år för kvinnor och drygt 1,5 år för mä</w:t>
      </w:r>
      <w:r w:rsidR="00662202">
        <w:t>n [12]</w:t>
      </w:r>
      <w:r>
        <w:t xml:space="preserve"> och antas fortsätta öka.</w:t>
      </w:r>
      <w:r w:rsidRPr="00C05C65">
        <w:rPr>
          <w:b/>
          <w:bCs/>
        </w:rPr>
        <w:t xml:space="preserve"> </w:t>
      </w:r>
      <w:r>
        <w:rPr>
          <w:b/>
          <w:bCs/>
        </w:rPr>
        <w:t xml:space="preserve"> </w:t>
      </w:r>
    </w:p>
    <w:p w14:paraId="1BEBD817" w14:textId="7CEA215C" w:rsidR="00882BD3" w:rsidRPr="00C05C65" w:rsidRDefault="00882BD3" w:rsidP="00565F4D">
      <w:r>
        <w:t xml:space="preserve">Som nämnts ovan </w:t>
      </w:r>
      <w:r w:rsidRPr="00C05C65">
        <w:t xml:space="preserve">kontrolleras vid våra ögonkliniker </w:t>
      </w:r>
      <w:r>
        <w:t>u</w:t>
      </w:r>
      <w:r w:rsidRPr="00C05C65">
        <w:t xml:space="preserve">töver personer med fastställt glaukom även många med riskfaktorer för att utveckla glaukom, </w:t>
      </w:r>
      <w:r w:rsidR="00210FD3">
        <w:t>till exempel</w:t>
      </w:r>
      <w:r>
        <w:t xml:space="preserve"> </w:t>
      </w:r>
      <w:r w:rsidR="00F106BB">
        <w:t xml:space="preserve">personer </w:t>
      </w:r>
      <w:r>
        <w:t xml:space="preserve">med </w:t>
      </w:r>
      <w:r w:rsidRPr="00C05C65">
        <w:t xml:space="preserve">förhöjt ögontryck (okulär hypertension), exfoliationer </w:t>
      </w:r>
      <w:r w:rsidR="00F106BB">
        <w:t>med mera</w:t>
      </w:r>
      <w:r w:rsidRPr="00C05C65">
        <w:t xml:space="preserve">.  En del av dessa behandlas med ögontryckssänkande droppar men många följs utan behandling, vilket torde innebära att </w:t>
      </w:r>
      <w:r w:rsidRPr="00F106BB">
        <w:t xml:space="preserve">betydligt fler personer än de 172 000 omfattas </w:t>
      </w:r>
      <w:r>
        <w:t>av riktlinje</w:t>
      </w:r>
      <w:r w:rsidR="00094ACE">
        <w:t>rna</w:t>
      </w:r>
      <w:r>
        <w:t xml:space="preserve"> </w:t>
      </w:r>
      <w:r w:rsidRPr="00306335">
        <w:t>och kontrolleras</w:t>
      </w:r>
      <w:r w:rsidRPr="00CF7F06">
        <w:t xml:space="preserve"> </w:t>
      </w:r>
      <w:r w:rsidRPr="00C05C65">
        <w:t xml:space="preserve">på våra glaukommottagningar. En </w:t>
      </w:r>
      <w:r>
        <w:t>tidigare</w:t>
      </w:r>
      <w:r w:rsidRPr="00C05C65">
        <w:t xml:space="preserve"> svensk undersökning visade att cirka 25</w:t>
      </w:r>
      <w:r w:rsidR="00565F4D">
        <w:t xml:space="preserve"> </w:t>
      </w:r>
      <w:r w:rsidRPr="00C05C65">
        <w:t>% av alla besök i svensk ögonsjukvård var glaukomrelaterade</w:t>
      </w:r>
      <w:r w:rsidR="00565F4D">
        <w:t xml:space="preserve"> [13].</w:t>
      </w:r>
      <w:r w:rsidRPr="00C05C65">
        <w:t xml:space="preserve"> </w:t>
      </w:r>
    </w:p>
    <w:p w14:paraId="7C173FB1" w14:textId="77777777" w:rsidR="00793E22" w:rsidRDefault="00793E22" w:rsidP="007A2E1D">
      <w:pPr>
        <w:rPr>
          <w:rStyle w:val="Rubrik3Char"/>
        </w:rPr>
      </w:pPr>
    </w:p>
    <w:p w14:paraId="41CDA94C" w14:textId="6D8E0308" w:rsidR="00882BD3" w:rsidRDefault="00882BD3" w:rsidP="007A2E1D">
      <w:bookmarkStart w:id="16" w:name="_Toc118795171"/>
      <w:r w:rsidRPr="00565F4D">
        <w:rPr>
          <w:rStyle w:val="Rubrik3Char"/>
        </w:rPr>
        <w:t>Kirurgi</w:t>
      </w:r>
      <w:bookmarkEnd w:id="16"/>
      <w:r w:rsidRPr="00C05C65">
        <w:rPr>
          <w:highlight w:val="yellow"/>
        </w:rPr>
        <w:br/>
      </w:r>
      <w:r w:rsidRPr="00A165DA">
        <w:t>Förstahandsbehandling vid glaukom är laser</w:t>
      </w:r>
      <w:r>
        <w:t>trabekuloplastik (LTP)</w:t>
      </w:r>
      <w:r w:rsidRPr="00A165DA">
        <w:t xml:space="preserve"> eller droppar</w:t>
      </w:r>
      <w:r>
        <w:t>, se även ovan</w:t>
      </w:r>
      <w:r w:rsidRPr="00A165DA">
        <w:t>. Ett mindre antal personer genomgår kirurgi</w:t>
      </w:r>
      <w:r w:rsidR="000B2FE1">
        <w:t>, se nedan</w:t>
      </w:r>
      <w:r w:rsidRPr="00A165DA">
        <w:t>.</w:t>
      </w:r>
    </w:p>
    <w:p w14:paraId="09E49244" w14:textId="77777777" w:rsidR="00882BD3" w:rsidRDefault="00882BD3" w:rsidP="007A2E1D">
      <w:r w:rsidRPr="00A165DA">
        <w:t>Kirurgi</w:t>
      </w:r>
      <w:r>
        <w:t xml:space="preserve"> görs i allmänhet när LTP och/eller ögondroppar inte givit tillräcklig trycksänkande effekt för att bromsa sjukdomsutvecklingen tillfredställande. LTP görs oftast tidigt i sjukdomsförloppet och kan användas som förstahandsbehandling.</w:t>
      </w:r>
    </w:p>
    <w:p w14:paraId="20CC0363" w14:textId="639B2C87" w:rsidR="00882BD3" w:rsidRDefault="00882BD3" w:rsidP="007A2E1D">
      <w:r>
        <w:t>Antalet glaukomoperationer med kniv i Sverige (</w:t>
      </w:r>
      <w:r w:rsidR="004340E2">
        <w:t xml:space="preserve">till exempel </w:t>
      </w:r>
      <w:r>
        <w:t xml:space="preserve">trabekulektomier, sklerectomier, MIGS, shuntar, ventiler) har sjunkit till omkring </w:t>
      </w:r>
      <w:r w:rsidRPr="004340E2">
        <w:t>1</w:t>
      </w:r>
      <w:r w:rsidR="00855ECE">
        <w:t xml:space="preserve"> </w:t>
      </w:r>
      <w:r w:rsidRPr="004340E2">
        <w:t xml:space="preserve">600 </w:t>
      </w:r>
      <w:r>
        <w:t>år 2020, efter toppåret 2017 då det utfördes nästan</w:t>
      </w:r>
      <w:r w:rsidR="00855ECE">
        <w:t xml:space="preserve">  </w:t>
      </w:r>
      <w:r>
        <w:t xml:space="preserve"> 1</w:t>
      </w:r>
      <w:r w:rsidR="00855ECE">
        <w:t xml:space="preserve"> </w:t>
      </w:r>
      <w:r>
        <w:t>800 operationer</w:t>
      </w:r>
      <w:r w:rsidR="004340E2">
        <w:t xml:space="preserve"> [14].</w:t>
      </w:r>
      <w:r w:rsidRPr="00003903">
        <w:t xml:space="preserve"> </w:t>
      </w:r>
      <w:r>
        <w:t xml:space="preserve">Det görs även knappt </w:t>
      </w:r>
      <w:r w:rsidRPr="004340E2">
        <w:t>900</w:t>
      </w:r>
      <w:r>
        <w:t xml:space="preserve"> cyklodestruktiva ingrepp (med laser eller kryo) årlige</w:t>
      </w:r>
      <w:r w:rsidR="004340E2">
        <w:t>n [14].</w:t>
      </w:r>
    </w:p>
    <w:p w14:paraId="4DAAA7C8" w14:textId="129F1D16" w:rsidR="00882BD3" w:rsidRPr="00A165DA" w:rsidRDefault="00882BD3" w:rsidP="007A2E1D">
      <w:r>
        <w:t xml:space="preserve">Antalet laserbehandlingar av kammarvinkeln ökar stadigt och uppgår till cirka </w:t>
      </w:r>
      <w:r w:rsidRPr="003361B0">
        <w:t>8</w:t>
      </w:r>
      <w:r w:rsidR="00DF2373">
        <w:t xml:space="preserve"> </w:t>
      </w:r>
      <w:r w:rsidRPr="003361B0">
        <w:t>600</w:t>
      </w:r>
      <w:r>
        <w:t xml:space="preserve"> år 2020</w:t>
      </w:r>
      <w:r w:rsidR="003361B0">
        <w:t xml:space="preserve"> [14]</w:t>
      </w:r>
      <w:r>
        <w:t>. I de flesta fall, cirka 7</w:t>
      </w:r>
      <w:r w:rsidR="00DF2373">
        <w:t xml:space="preserve"> </w:t>
      </w:r>
      <w:r>
        <w:t xml:space="preserve">700, används </w:t>
      </w:r>
      <w:r w:rsidR="003361B0">
        <w:t>så kallad</w:t>
      </w:r>
      <w:r>
        <w:t xml:space="preserve"> selektiv lasertrabekuloplastik (SLT)</w:t>
      </w:r>
      <w:r w:rsidR="003361B0">
        <w:t xml:space="preserve"> [14].</w:t>
      </w:r>
    </w:p>
    <w:p w14:paraId="6C7CEA21" w14:textId="77777777" w:rsidR="00793E22" w:rsidRDefault="00793E22" w:rsidP="005071AB">
      <w:pPr>
        <w:rPr>
          <w:rStyle w:val="Rubrik3Char"/>
        </w:rPr>
      </w:pPr>
    </w:p>
    <w:p w14:paraId="5F2D19F4" w14:textId="22F357D2" w:rsidR="003F111A" w:rsidRDefault="00882BD3" w:rsidP="005071AB">
      <w:pPr>
        <w:rPr>
          <w:rStyle w:val="Rubrik3Char"/>
        </w:rPr>
      </w:pPr>
      <w:bookmarkStart w:id="17" w:name="_Toc118795172"/>
      <w:r w:rsidRPr="00FB0083">
        <w:rPr>
          <w:rStyle w:val="Rubrik3Char"/>
        </w:rPr>
        <w:t>Antal odiagnostiserade</w:t>
      </w:r>
      <w:bookmarkEnd w:id="17"/>
      <w:r w:rsidRPr="00C05C65">
        <w:rPr>
          <w:u w:val="single"/>
        </w:rPr>
        <w:br/>
      </w:r>
      <w:r w:rsidRPr="00FB0083">
        <w:t>I västvärlden räknar man med att hälften av alla glaukom är odiagnostiserade</w:t>
      </w:r>
      <w:r w:rsidR="00E47C44">
        <w:t xml:space="preserve"> [</w:t>
      </w:r>
      <w:r w:rsidRPr="00FB0083">
        <w:t>13, 15</w:t>
      </w:r>
      <w:r w:rsidR="00FD4219" w:rsidRPr="00C05C65">
        <w:t>–</w:t>
      </w:r>
      <w:r w:rsidRPr="00FB0083">
        <w:t>21</w:t>
      </w:r>
      <w:r w:rsidR="00E47C44">
        <w:t>]</w:t>
      </w:r>
      <w:r w:rsidR="00FD4219">
        <w:t>.</w:t>
      </w:r>
      <w:r w:rsidRPr="00FB0083">
        <w:t xml:space="preserve"> Personer med glaukom som upptäckts vid befolkningsundersökningar skiljer sig i många avseenden från patienter som diagnostiserats vid en ögonklinik. Bland klinikupptäckta glaukom är högt ögontryck, större synfältsskada, exfoliationer och bilateral sjukdom vanligare, medan screeningupptäckta har lägre ögontryck och mindre skada</w:t>
      </w:r>
      <w:r w:rsidR="00FD4219">
        <w:t xml:space="preserve"> [22]</w:t>
      </w:r>
      <w:r w:rsidRPr="00FB0083">
        <w:t>.</w:t>
      </w:r>
      <w:r w:rsidR="00FD4219">
        <w:t xml:space="preserve"> </w:t>
      </w:r>
      <w:r w:rsidRPr="00FB0083">
        <w:t>Nyare studier indikerar att klinikupptäckta patienter på senare år diagnosti</w:t>
      </w:r>
      <w:r w:rsidR="00F23CE1">
        <w:t>s</w:t>
      </w:r>
      <w:r w:rsidRPr="00FB0083">
        <w:t>eras med mindre allvarliga skador jämfört med tidigare, även om skadorna fortfarande ofta är betydande</w:t>
      </w:r>
      <w:r w:rsidR="007F5DFA">
        <w:t xml:space="preserve"> [23]</w:t>
      </w:r>
      <w:r w:rsidRPr="00FB0083">
        <w:t>. Screening för glaukom kan bidra till att minska synhandikapp och blindhet</w:t>
      </w:r>
      <w:r w:rsidR="00467F34">
        <w:t xml:space="preserve"> [</w:t>
      </w:r>
      <w:r w:rsidRPr="00FB0083">
        <w:t>24</w:t>
      </w:r>
      <w:r w:rsidR="00467F34">
        <w:t>]</w:t>
      </w:r>
      <w:r w:rsidRPr="00FB0083">
        <w:t>, men det är ännu inte visat att allmän screening är kostnadseffektiv</w:t>
      </w:r>
      <w:r w:rsidR="00467F34">
        <w:t xml:space="preserve"> [</w:t>
      </w:r>
      <w:r w:rsidRPr="00FB0083">
        <w:t>25</w:t>
      </w:r>
      <w:r w:rsidR="00467F34" w:rsidRPr="00C05C65">
        <w:t>–</w:t>
      </w:r>
      <w:r w:rsidRPr="00FB0083">
        <w:t>27</w:t>
      </w:r>
      <w:r w:rsidR="00467F34">
        <w:t>].</w:t>
      </w:r>
      <w:r w:rsidRPr="00FB0083">
        <w:t xml:space="preserve"> Även överdiagnostik förekommer</w:t>
      </w:r>
      <w:r w:rsidR="00467F34">
        <w:t xml:space="preserve"> [</w:t>
      </w:r>
      <w:r w:rsidRPr="00FB0083">
        <w:t>28</w:t>
      </w:r>
      <w:r w:rsidR="00467F34">
        <w:t>].</w:t>
      </w:r>
      <w:r w:rsidRPr="00FB0083">
        <w:br/>
      </w:r>
      <w:r w:rsidRPr="00C05C65">
        <w:br/>
      </w:r>
    </w:p>
    <w:p w14:paraId="01080833" w14:textId="77777777" w:rsidR="003F111A" w:rsidRDefault="003F111A">
      <w:pPr>
        <w:spacing w:before="0" w:after="200" w:line="276" w:lineRule="auto"/>
        <w:rPr>
          <w:rStyle w:val="Rubrik3Char"/>
        </w:rPr>
      </w:pPr>
      <w:r>
        <w:rPr>
          <w:rStyle w:val="Rubrik3Char"/>
        </w:rPr>
        <w:br w:type="page"/>
      </w:r>
    </w:p>
    <w:p w14:paraId="26F3940D" w14:textId="60498F37" w:rsidR="00882BD3" w:rsidRPr="003F111A" w:rsidRDefault="00882BD3" w:rsidP="005071AB">
      <w:pPr>
        <w:rPr>
          <w:rFonts w:asciiTheme="majorHAnsi" w:eastAsiaTheme="majorEastAsia" w:hAnsiTheme="majorHAnsi" w:cstheme="majorBidi"/>
          <w:bCs/>
          <w:sz w:val="28"/>
        </w:rPr>
      </w:pPr>
      <w:bookmarkStart w:id="18" w:name="_Toc118795173"/>
      <w:r w:rsidRPr="005071AB">
        <w:rPr>
          <w:rStyle w:val="Rubrik3Char"/>
        </w:rPr>
        <w:lastRenderedPageBreak/>
        <w:t>Register</w:t>
      </w:r>
      <w:bookmarkEnd w:id="18"/>
      <w:r w:rsidRPr="00C05C65">
        <w:br/>
        <w:t xml:space="preserve">I Sverige saknas register omfattande glaukomsjukdomen, </w:t>
      </w:r>
      <w:r w:rsidRPr="00A165DA">
        <w:t xml:space="preserve">vilket bidrar till osäkerheten i efterfrågade </w:t>
      </w:r>
      <w:r w:rsidRPr="00885244">
        <w:rPr>
          <w:rFonts w:ascii="Calibri" w:hAnsi="Calibri" w:cs="Calibri"/>
        </w:rPr>
        <w:t xml:space="preserve">parametrar.  </w:t>
      </w:r>
    </w:p>
    <w:p w14:paraId="69837BE1" w14:textId="18917C76" w:rsidR="00882BD3" w:rsidRPr="006D5257" w:rsidRDefault="00882BD3" w:rsidP="005071AB">
      <w:pPr>
        <w:rPr>
          <w:rFonts w:ascii="Calibri" w:hAnsi="Calibri" w:cs="Calibri"/>
        </w:rPr>
      </w:pPr>
      <w:r w:rsidRPr="006D5257">
        <w:rPr>
          <w:rFonts w:ascii="Calibri" w:hAnsi="Calibri" w:cs="Calibri"/>
        </w:rPr>
        <w:t xml:space="preserve">Sammanfattningsvis (eller uppskattningsvis) torde kring 200 000 </w:t>
      </w:r>
      <w:r w:rsidR="005071AB" w:rsidRPr="006D5257">
        <w:rPr>
          <w:rFonts w:ascii="Calibri" w:hAnsi="Calibri" w:cs="Calibri"/>
        </w:rPr>
        <w:t>personer</w:t>
      </w:r>
      <w:r w:rsidRPr="006D5257">
        <w:rPr>
          <w:rFonts w:ascii="Calibri" w:hAnsi="Calibri" w:cs="Calibri"/>
        </w:rPr>
        <w:t xml:space="preserve"> i Sverige omfattas av dokumentet.</w:t>
      </w:r>
    </w:p>
    <w:p w14:paraId="3BD3B19D" w14:textId="77777777" w:rsidR="00DA0A26" w:rsidRPr="00727FB4" w:rsidRDefault="00371E99" w:rsidP="00A32934">
      <w:pPr>
        <w:pStyle w:val="Rubrik2Numrerad"/>
        <w:numPr>
          <w:ilvl w:val="0"/>
          <w:numId w:val="0"/>
        </w:numPr>
        <w:rPr>
          <w:lang w:val="sv-SE"/>
        </w:rPr>
      </w:pPr>
      <w:bookmarkStart w:id="19" w:name="_Toc118795174"/>
      <w:r w:rsidRPr="00727FB4">
        <w:rPr>
          <w:lang w:val="sv-SE"/>
        </w:rPr>
        <w:t xml:space="preserve">2.2 </w:t>
      </w:r>
      <w:r w:rsidR="00DA0A26" w:rsidRPr="00727FB4">
        <w:rPr>
          <w:lang w:val="sv-SE"/>
        </w:rPr>
        <w:t>Nytta eller risker för individen</w:t>
      </w:r>
      <w:bookmarkEnd w:id="14"/>
      <w:bookmarkEnd w:id="19"/>
      <w:r w:rsidR="00DA0A26" w:rsidRPr="00727FB4">
        <w:rPr>
          <w:lang w:val="sv-SE"/>
        </w:rPr>
        <w:t xml:space="preserve"> </w:t>
      </w:r>
    </w:p>
    <w:p w14:paraId="1AAF065C" w14:textId="64FBE49B" w:rsidR="00615D1A" w:rsidRPr="00200889" w:rsidRDefault="00615D1A" w:rsidP="00057B2E">
      <w:bookmarkStart w:id="20" w:name="_Toc22575669"/>
      <w:r w:rsidRPr="00200889">
        <w:t xml:space="preserve">Förhoppningsvis bidrar </w:t>
      </w:r>
      <w:r w:rsidR="0076734A">
        <w:t>riktlinje</w:t>
      </w:r>
      <w:r w:rsidR="004169A4">
        <w:t>rna</w:t>
      </w:r>
      <w:r w:rsidRPr="00200889">
        <w:t xml:space="preserve"> till att utjämna stora nationella skillnader i vårdtillgång och vårdkvalitet och ge </w:t>
      </w:r>
      <w:r w:rsidR="00D936CC">
        <w:t>personer</w:t>
      </w:r>
      <w:r w:rsidRPr="00200889">
        <w:t xml:space="preserve"> med misstänkt eller manifest glaukom en likvärdig vård över landet. Vikten av kontinuitet betonas.</w:t>
      </w:r>
    </w:p>
    <w:p w14:paraId="4793CA4B" w14:textId="07132DFD" w:rsidR="00615D1A" w:rsidRPr="00200889" w:rsidRDefault="00615D1A" w:rsidP="00057B2E">
      <w:r w:rsidRPr="00200889">
        <w:t xml:space="preserve">Då en förutsättning för ett långsiktigt hållbart sjukvårdssystem är att prioriteringar och resursavvägningar görs har vi i </w:t>
      </w:r>
      <w:r w:rsidR="00A255EA">
        <w:t>riktlinje</w:t>
      </w:r>
      <w:r w:rsidR="000D5F88">
        <w:t>rna</w:t>
      </w:r>
      <w:r w:rsidRPr="00200889">
        <w:t xml:space="preserve"> föreslagit att </w:t>
      </w:r>
      <w:r w:rsidR="009A07F3">
        <w:t>personer</w:t>
      </w:r>
      <w:r w:rsidRPr="00200889">
        <w:t xml:space="preserve"> med ringa risk för </w:t>
      </w:r>
      <w:r w:rsidR="00F05C7A">
        <w:t>a</w:t>
      </w:r>
      <w:r w:rsidR="00E44D61">
        <w:t xml:space="preserve">tt </w:t>
      </w:r>
      <w:r w:rsidRPr="00200889">
        <w:t>utveckla glaukomsjukdom kontrolleras utanför ögonsjukvården. Så görs även idag, dock med regionala skillnader. Nytt i riktlinje</w:t>
      </w:r>
      <w:r w:rsidR="000D5F88">
        <w:t>rna</w:t>
      </w:r>
      <w:r w:rsidRPr="00200889">
        <w:t xml:space="preserve"> är att en nationellt överenskommen lägsta ögontrycksnivå är angiven för de remisser till ögonsjukvården som enbart baseras på ögontryck. Olika trycknivåer har tidigare varit praxis i många regioner, men någon nationell enighet har inte funnits. En angiven trycknivå medför alltid en liten risk att </w:t>
      </w:r>
      <w:r w:rsidR="00F149A6">
        <w:t xml:space="preserve">en </w:t>
      </w:r>
      <w:r w:rsidRPr="00200889">
        <w:t xml:space="preserve">enstaka </w:t>
      </w:r>
      <w:r w:rsidR="00F149A6">
        <w:t>person</w:t>
      </w:r>
      <w:r w:rsidRPr="00200889">
        <w:t xml:space="preserve"> missas, men är en förutsättning för att använda de begränsade sjukvårdsresurserna på </w:t>
      </w:r>
      <w:r w:rsidR="005A461D">
        <w:t xml:space="preserve">ett </w:t>
      </w:r>
      <w:r w:rsidRPr="00200889">
        <w:t xml:space="preserve">så optimalt sätt som möjligt. </w:t>
      </w:r>
      <w:r w:rsidRPr="003C0BC1">
        <w:t>Genom att sätta tydliga remisskrav och en trycknivå minskar risken för falskt positiva remisser</w:t>
      </w:r>
      <w:r w:rsidR="00C069B8">
        <w:t>. Dessa är vanliga</w:t>
      </w:r>
      <w:r w:rsidRPr="003C0BC1">
        <w:t xml:space="preserve"> med nuvarande praxis </w:t>
      </w:r>
      <w:r w:rsidR="001F5FDD">
        <w:t>[29]</w:t>
      </w:r>
      <w:r w:rsidRPr="003C0BC1">
        <w:t xml:space="preserve"> och </w:t>
      </w:r>
      <w:r w:rsidR="00C069B8">
        <w:t>kan</w:t>
      </w:r>
      <w:r w:rsidRPr="003C0BC1">
        <w:t xml:space="preserve"> </w:t>
      </w:r>
      <w:r>
        <w:t>ibland generera</w:t>
      </w:r>
      <w:r w:rsidRPr="003C0BC1">
        <w:t xml:space="preserve"> onödig ångest hos </w:t>
      </w:r>
      <w:r w:rsidR="00E7218E">
        <w:t>person</w:t>
      </w:r>
      <w:r w:rsidR="00A70CE5">
        <w:t>er över</w:t>
      </w:r>
      <w:r w:rsidRPr="003C0BC1">
        <w:t xml:space="preserve"> att ha </w:t>
      </w:r>
      <w:r w:rsidR="00A70CE5">
        <w:t>fått</w:t>
      </w:r>
      <w:r w:rsidRPr="003C0BC1">
        <w:t xml:space="preserve"> en potentiell blindande sjukdom.  Samtidigt ges vården bättre förutsättningar att ge personer med fastställd sjukdom en god vård när resurserna används för att ta hand om patienter med glaukom och de med hög risk att utveckla sjukdomen.</w:t>
      </w:r>
    </w:p>
    <w:p w14:paraId="0BC4750B" w14:textId="190DA35E" w:rsidR="00615D1A" w:rsidRPr="00200889" w:rsidRDefault="00615D1A" w:rsidP="00057B2E">
      <w:r w:rsidRPr="00200889">
        <w:t xml:space="preserve">Alla åtgärder beskrivna i </w:t>
      </w:r>
      <w:r w:rsidR="00A20052">
        <w:t>riktlinje</w:t>
      </w:r>
      <w:r w:rsidR="000D5F88">
        <w:t>rna</w:t>
      </w:r>
      <w:r w:rsidR="00A20052" w:rsidRPr="00200889">
        <w:t xml:space="preserve"> </w:t>
      </w:r>
      <w:r w:rsidRPr="00200889">
        <w:t xml:space="preserve">är baserade på systematiskt framtaget kunskapsunderlag eller om sådant är bristfälligt i enlighet med rådande klinisk praxis. Några nytillkomna risker finns inte kopplade till </w:t>
      </w:r>
      <w:r w:rsidR="007A6FA8">
        <w:t>riktlinje</w:t>
      </w:r>
      <w:r w:rsidR="009F5662">
        <w:t>rna</w:t>
      </w:r>
      <w:r w:rsidRPr="00200889">
        <w:t>.</w:t>
      </w:r>
    </w:p>
    <w:p w14:paraId="0ACAD9A7" w14:textId="49271B48" w:rsidR="00615D1A" w:rsidRPr="00200889" w:rsidRDefault="00615D1A" w:rsidP="00057B2E">
      <w:r w:rsidRPr="00200889">
        <w:t>I dokumentet betonas på flera ställen vikten av patientens delaktighet i vården</w:t>
      </w:r>
      <w:r>
        <w:t>,</w:t>
      </w:r>
      <w:r w:rsidRPr="00200889">
        <w:t xml:space="preserve"> lyhördhet inför patientens önskemål samt vikten av individualiserad vård. Det har också på initiativ av patientorganisationen lagts till ett stycke om patientbemötande.</w:t>
      </w:r>
    </w:p>
    <w:p w14:paraId="0C4449A8" w14:textId="77777777" w:rsidR="00DA0A26" w:rsidRPr="00727FB4" w:rsidRDefault="00371E99" w:rsidP="00A32934">
      <w:pPr>
        <w:pStyle w:val="Rubrik2Numrerad"/>
        <w:numPr>
          <w:ilvl w:val="0"/>
          <w:numId w:val="0"/>
        </w:numPr>
        <w:ind w:left="907" w:hanging="907"/>
        <w:rPr>
          <w:lang w:val="sv-SE"/>
        </w:rPr>
      </w:pPr>
      <w:bookmarkStart w:id="21" w:name="_Toc118795175"/>
      <w:r w:rsidRPr="00727FB4">
        <w:rPr>
          <w:lang w:val="sv-SE"/>
        </w:rPr>
        <w:t xml:space="preserve">2.3 </w:t>
      </w:r>
      <w:r w:rsidR="00DA0A26" w:rsidRPr="00727FB4">
        <w:rPr>
          <w:lang w:val="sv-SE"/>
        </w:rPr>
        <w:t>Etiska aspekter</w:t>
      </w:r>
      <w:bookmarkEnd w:id="20"/>
      <w:bookmarkEnd w:id="21"/>
    </w:p>
    <w:p w14:paraId="1DE2CCB2" w14:textId="7D63C22B" w:rsidR="00C9285E" w:rsidRPr="00200889" w:rsidRDefault="00C9285E" w:rsidP="00750F67">
      <w:bookmarkStart w:id="22" w:name="_Toc22575670"/>
      <w:r w:rsidRPr="00200889">
        <w:t>Bevarad synfunktion har betydelse för livskvalitet</w:t>
      </w:r>
      <w:r>
        <w:t xml:space="preserve"> och är viktig för patientens autonomi och integritet.</w:t>
      </w:r>
      <w:r w:rsidRPr="00200889">
        <w:t xml:space="preserve"> Nästan varannan </w:t>
      </w:r>
      <w:r w:rsidR="004D62AE">
        <w:t>person</w:t>
      </w:r>
      <w:r w:rsidRPr="00200889">
        <w:t xml:space="preserve"> med glaukom får en påtaglig synförsämring och var sjätte blir blind under sin livstid</w:t>
      </w:r>
      <w:r w:rsidR="004D62AE">
        <w:t xml:space="preserve"> [30]</w:t>
      </w:r>
      <w:r>
        <w:t>.</w:t>
      </w:r>
      <w:r w:rsidRPr="00200889">
        <w:t xml:space="preserve"> Behandling minskar försämringshastigheten med ungefär hälften</w:t>
      </w:r>
      <w:r w:rsidR="004D62AE">
        <w:t xml:space="preserve"> [31].</w:t>
      </w:r>
    </w:p>
    <w:p w14:paraId="20D39611" w14:textId="4A78CD66" w:rsidR="00C9285E" w:rsidRPr="00200889" w:rsidRDefault="00C9285E" w:rsidP="00750F67">
      <w:r w:rsidRPr="00200889">
        <w:t>Riktlinje</w:t>
      </w:r>
      <w:r w:rsidR="009F5662">
        <w:t>rna</w:t>
      </w:r>
      <w:r w:rsidRPr="00200889">
        <w:t xml:space="preserve"> innebär ingen inskränkning av </w:t>
      </w:r>
      <w:r w:rsidR="00760F83">
        <w:t>patientens</w:t>
      </w:r>
      <w:r w:rsidRPr="00200889">
        <w:t xml:space="preserve"> autonomi eller integritet. </w:t>
      </w:r>
      <w:bookmarkStart w:id="23" w:name="_Hlk89260743"/>
      <w:r w:rsidRPr="00200889">
        <w:t xml:space="preserve">Glaukom är en kronisk sjukdom som fortskrider långsamt i de flesta fall. Den drabbar företrädesvis relativt gamla personer.  Det finns en uppenbar risk att undersökning, behandling och uppföljning ges låg prioritet och särskild uppmärksamhet bör därför ägnas åt att säkerställa att denna patientgrupp får sina behov tillgodosedda. </w:t>
      </w:r>
      <w:r>
        <w:t>Vad gäller undanträngningseffekter se även 2.5.</w:t>
      </w:r>
    </w:p>
    <w:bookmarkEnd w:id="23"/>
    <w:p w14:paraId="7030D600" w14:textId="0CE27DEC" w:rsidR="00C9285E" w:rsidRPr="00200889" w:rsidRDefault="00C9285E" w:rsidP="00750F67">
      <w:r w:rsidRPr="00200889">
        <w:t>Riktlinje</w:t>
      </w:r>
      <w:r w:rsidR="00EF7E27">
        <w:t>rna</w:t>
      </w:r>
      <w:r w:rsidRPr="00200889">
        <w:t xml:space="preserve"> utgår från prioriteringsgrunderna för hälso- och sjukvården. Vård av personer med glaukomsjukdom har hög medicinsk angelägenhetsgrad och behandlingens effekt bedöms som stor eller mycket stor enligt medicinska prioriteringslistan för ögonsjukvård, godkänd av Nationella programområdet Ögon</w:t>
      </w:r>
      <w:r w:rsidR="00C43865">
        <w:t>sjukdomar [32].</w:t>
      </w:r>
    </w:p>
    <w:p w14:paraId="1C8EB750" w14:textId="24FAFDF7" w:rsidR="00C9285E" w:rsidRPr="00200889" w:rsidRDefault="00C9285E" w:rsidP="00750F67">
      <w:r w:rsidRPr="00200889">
        <w:t>De nya riktlinje</w:t>
      </w:r>
      <w:r w:rsidR="00EF7E27">
        <w:t>rna</w:t>
      </w:r>
      <w:r w:rsidRPr="00200889">
        <w:t xml:space="preserve"> bedöms inte medföra några konsekvenser ur</w:t>
      </w:r>
      <w:r w:rsidR="00C43865">
        <w:t xml:space="preserve"> ett</w:t>
      </w:r>
      <w:r w:rsidRPr="00200889">
        <w:t xml:space="preserve"> jämlikhetsperspektiv.</w:t>
      </w:r>
    </w:p>
    <w:p w14:paraId="2A1B2E89" w14:textId="599ABDC4" w:rsidR="00C9285E" w:rsidRPr="00885244" w:rsidRDefault="00C9285E" w:rsidP="00750F67">
      <w:r w:rsidRPr="00200889">
        <w:lastRenderedPageBreak/>
        <w:t>De</w:t>
      </w:r>
      <w:r w:rsidR="00E0724E">
        <w:t>n</w:t>
      </w:r>
      <w:r w:rsidRPr="00200889">
        <w:t xml:space="preserve"> bedöms heller inte leda till onödig eller omotiverad vård. Tvärtom motverkar de</w:t>
      </w:r>
      <w:r w:rsidR="00A10A29">
        <w:t>n</w:t>
      </w:r>
      <w:r w:rsidR="00435980">
        <w:t xml:space="preserve"> </w:t>
      </w:r>
      <w:r w:rsidRPr="00200889">
        <w:t>sådan vård genom sina striktare rekommendationer. En minimal risk för att patienter felaktigt exkluderas kan föreligga, se 2.2.</w:t>
      </w:r>
    </w:p>
    <w:p w14:paraId="40B6FF19" w14:textId="616B6B73" w:rsidR="00DA0A26" w:rsidRPr="00727FB4" w:rsidRDefault="00371E99" w:rsidP="00A32934">
      <w:pPr>
        <w:pStyle w:val="Rubrik2Numrerad"/>
        <w:numPr>
          <w:ilvl w:val="0"/>
          <w:numId w:val="0"/>
        </w:numPr>
        <w:ind w:left="907" w:hanging="907"/>
        <w:rPr>
          <w:lang w:val="sv-SE"/>
        </w:rPr>
      </w:pPr>
      <w:bookmarkStart w:id="24" w:name="_Toc118795176"/>
      <w:r w:rsidRPr="00727FB4">
        <w:rPr>
          <w:lang w:val="sv-SE"/>
        </w:rPr>
        <w:t xml:space="preserve">2.4 </w:t>
      </w:r>
      <w:r w:rsidR="00DA0A26" w:rsidRPr="00727FB4">
        <w:rPr>
          <w:lang w:val="sv-SE"/>
        </w:rPr>
        <w:t>Verksamhet och organisation</w:t>
      </w:r>
      <w:bookmarkEnd w:id="22"/>
      <w:bookmarkEnd w:id="24"/>
    </w:p>
    <w:p w14:paraId="432B2B84" w14:textId="0B3A051D" w:rsidR="00F230BB" w:rsidRPr="00200889" w:rsidRDefault="00F230BB" w:rsidP="00F230BB">
      <w:pPr>
        <w:pStyle w:val="Default"/>
        <w:spacing w:after="200"/>
        <w:rPr>
          <w:rFonts w:asciiTheme="minorHAnsi" w:hAnsiTheme="minorHAnsi" w:cstheme="minorHAnsi"/>
          <w:sz w:val="22"/>
          <w:szCs w:val="22"/>
        </w:rPr>
      </w:pPr>
      <w:bookmarkStart w:id="25" w:name="_Toc22575671"/>
      <w:r w:rsidRPr="00200889">
        <w:rPr>
          <w:rFonts w:asciiTheme="minorHAnsi" w:hAnsiTheme="minorHAnsi" w:cstheme="minorHAnsi"/>
          <w:sz w:val="22"/>
          <w:szCs w:val="22"/>
        </w:rPr>
        <w:t>För ögonkliniker som tidigare följt de nationella riktlinjerna (Riktlinjer för svensk glaukomsjukvård, 2010</w:t>
      </w:r>
      <w:r w:rsidR="00367B7B">
        <w:rPr>
          <w:rFonts w:asciiTheme="minorHAnsi" w:hAnsiTheme="minorHAnsi" w:cstheme="minorHAnsi"/>
          <w:sz w:val="22"/>
          <w:szCs w:val="22"/>
        </w:rPr>
        <w:t xml:space="preserve"> [3]</w:t>
      </w:r>
      <w:r w:rsidRPr="00200889">
        <w:rPr>
          <w:rFonts w:asciiTheme="minorHAnsi" w:hAnsiTheme="minorHAnsi" w:cstheme="minorHAnsi"/>
          <w:sz w:val="22"/>
          <w:szCs w:val="22"/>
        </w:rPr>
        <w:t>) innebär de nya riktlinje</w:t>
      </w:r>
      <w:r w:rsidR="00EF7E27">
        <w:rPr>
          <w:rFonts w:asciiTheme="minorHAnsi" w:hAnsiTheme="minorHAnsi" w:cstheme="minorHAnsi"/>
          <w:sz w:val="22"/>
          <w:szCs w:val="22"/>
        </w:rPr>
        <w:t>rna</w:t>
      </w:r>
      <w:r w:rsidRPr="00200889">
        <w:rPr>
          <w:rFonts w:asciiTheme="minorHAnsi" w:hAnsiTheme="minorHAnsi" w:cstheme="minorHAnsi"/>
          <w:sz w:val="22"/>
          <w:szCs w:val="22"/>
        </w:rPr>
        <w:t xml:space="preserve"> inte några större övergripande verksamhets</w:t>
      </w:r>
      <w:r w:rsidR="00D45972">
        <w:rPr>
          <w:rFonts w:asciiTheme="minorHAnsi" w:hAnsiTheme="minorHAnsi" w:cstheme="minorHAnsi"/>
          <w:sz w:val="22"/>
          <w:szCs w:val="22"/>
        </w:rPr>
        <w:t>förändringar</w:t>
      </w:r>
      <w:r w:rsidRPr="00200889">
        <w:rPr>
          <w:rFonts w:asciiTheme="minorHAnsi" w:hAnsiTheme="minorHAnsi" w:cstheme="minorHAnsi"/>
          <w:sz w:val="22"/>
          <w:szCs w:val="22"/>
        </w:rPr>
        <w:t xml:space="preserve"> eller organisatoriska förändringar då de nya riktlinje</w:t>
      </w:r>
      <w:r w:rsidR="00144EB6">
        <w:rPr>
          <w:rFonts w:asciiTheme="minorHAnsi" w:hAnsiTheme="minorHAnsi" w:cstheme="minorHAnsi"/>
          <w:sz w:val="22"/>
          <w:szCs w:val="22"/>
        </w:rPr>
        <w:t>rna</w:t>
      </w:r>
      <w:r w:rsidRPr="00200889">
        <w:rPr>
          <w:rFonts w:asciiTheme="minorHAnsi" w:hAnsiTheme="minorHAnsi" w:cstheme="minorHAnsi"/>
          <w:sz w:val="22"/>
          <w:szCs w:val="22"/>
        </w:rPr>
        <w:t xml:space="preserve"> inte i någon väsentlig omfattning skiljer sig från de tidigare. De är dock mer specifik</w:t>
      </w:r>
      <w:r w:rsidR="00144EB6">
        <w:rPr>
          <w:rFonts w:asciiTheme="minorHAnsi" w:hAnsiTheme="minorHAnsi" w:cstheme="minorHAnsi"/>
          <w:sz w:val="22"/>
          <w:szCs w:val="22"/>
        </w:rPr>
        <w:t>a</w:t>
      </w:r>
      <w:r w:rsidRPr="00200889">
        <w:rPr>
          <w:rFonts w:asciiTheme="minorHAnsi" w:hAnsiTheme="minorHAnsi" w:cstheme="minorHAnsi"/>
          <w:sz w:val="22"/>
          <w:szCs w:val="22"/>
        </w:rPr>
        <w:t xml:space="preserve"> i vissa avseenden, vilket borde innebära att en del verksamheter kan frigöra resurser från </w:t>
      </w:r>
      <w:r w:rsidR="00F93F87">
        <w:rPr>
          <w:rFonts w:asciiTheme="minorHAnsi" w:hAnsiTheme="minorHAnsi" w:cstheme="minorHAnsi"/>
          <w:sz w:val="22"/>
          <w:szCs w:val="22"/>
        </w:rPr>
        <w:t>personer</w:t>
      </w:r>
      <w:r w:rsidRPr="00200889">
        <w:rPr>
          <w:rFonts w:asciiTheme="minorHAnsi" w:hAnsiTheme="minorHAnsi" w:cstheme="minorHAnsi"/>
          <w:sz w:val="22"/>
          <w:szCs w:val="22"/>
        </w:rPr>
        <w:t xml:space="preserve"> med ringa risk till dem med stor risk. </w:t>
      </w:r>
    </w:p>
    <w:p w14:paraId="6A31370D" w14:textId="2DE83518" w:rsidR="00F230BB" w:rsidRPr="00885244" w:rsidRDefault="00F230BB" w:rsidP="00F230BB">
      <w:pPr>
        <w:pStyle w:val="Default"/>
        <w:spacing w:after="200"/>
      </w:pPr>
      <w:r w:rsidRPr="00200889">
        <w:rPr>
          <w:rFonts w:asciiTheme="minorHAnsi" w:hAnsiTheme="minorHAnsi" w:cstheme="minorHAnsi"/>
          <w:sz w:val="22"/>
          <w:szCs w:val="22"/>
        </w:rPr>
        <w:t xml:space="preserve">För optikbutiker som tidigare följt Optikerförbundets </w:t>
      </w:r>
      <w:r w:rsidR="000F16A8">
        <w:rPr>
          <w:rFonts w:asciiTheme="minorHAnsi" w:hAnsiTheme="minorHAnsi" w:cstheme="minorHAnsi"/>
          <w:sz w:val="22"/>
          <w:szCs w:val="22"/>
        </w:rPr>
        <w:t>riktlinjer (</w:t>
      </w:r>
      <w:r w:rsidRPr="00200889">
        <w:rPr>
          <w:rFonts w:asciiTheme="minorHAnsi" w:hAnsiTheme="minorHAnsi" w:cstheme="minorHAnsi"/>
          <w:sz w:val="22"/>
          <w:szCs w:val="22"/>
        </w:rPr>
        <w:t>Riktlinjer vid undersökningar utförda av optometrister och optiker i Sverige: Hantering av patienter med ökad risk för glaukom</w:t>
      </w:r>
      <w:r w:rsidR="000F16A8">
        <w:rPr>
          <w:rFonts w:asciiTheme="minorHAnsi" w:hAnsiTheme="minorHAnsi" w:cstheme="minorHAnsi"/>
          <w:sz w:val="22"/>
          <w:szCs w:val="22"/>
        </w:rPr>
        <w:t>)</w:t>
      </w:r>
      <w:r w:rsidRPr="00200889">
        <w:rPr>
          <w:rFonts w:asciiTheme="minorHAnsi" w:hAnsiTheme="minorHAnsi" w:cstheme="minorHAnsi"/>
          <w:sz w:val="22"/>
          <w:szCs w:val="22"/>
        </w:rPr>
        <w:t xml:space="preserve"> innebär de</w:t>
      </w:r>
      <w:r w:rsidR="00E45673">
        <w:rPr>
          <w:rFonts w:asciiTheme="minorHAnsi" w:hAnsiTheme="minorHAnsi" w:cstheme="minorHAnsi"/>
          <w:sz w:val="22"/>
          <w:szCs w:val="22"/>
        </w:rPr>
        <w:t xml:space="preserve"> </w:t>
      </w:r>
      <w:r w:rsidRPr="00200889">
        <w:rPr>
          <w:rFonts w:asciiTheme="minorHAnsi" w:hAnsiTheme="minorHAnsi" w:cstheme="minorHAnsi"/>
          <w:sz w:val="22"/>
          <w:szCs w:val="22"/>
        </w:rPr>
        <w:t>nya riktlinje</w:t>
      </w:r>
      <w:r w:rsidR="00DF4EDD">
        <w:rPr>
          <w:rFonts w:asciiTheme="minorHAnsi" w:hAnsiTheme="minorHAnsi" w:cstheme="minorHAnsi"/>
          <w:sz w:val="22"/>
          <w:szCs w:val="22"/>
        </w:rPr>
        <w:t>rna</w:t>
      </w:r>
      <w:r w:rsidRPr="00200889">
        <w:rPr>
          <w:rFonts w:asciiTheme="minorHAnsi" w:hAnsiTheme="minorHAnsi" w:cstheme="minorHAnsi"/>
          <w:sz w:val="22"/>
          <w:szCs w:val="22"/>
        </w:rPr>
        <w:t xml:space="preserve"> vissa förändringar som förhoppningsvis främjar samarbetet kring </w:t>
      </w:r>
      <w:r w:rsidR="00E45673">
        <w:rPr>
          <w:rFonts w:asciiTheme="minorHAnsi" w:hAnsiTheme="minorHAnsi" w:cstheme="minorHAnsi"/>
          <w:sz w:val="22"/>
          <w:szCs w:val="22"/>
        </w:rPr>
        <w:t>personer</w:t>
      </w:r>
      <w:r w:rsidRPr="00200889">
        <w:rPr>
          <w:rFonts w:asciiTheme="minorHAnsi" w:hAnsiTheme="minorHAnsi" w:cstheme="minorHAnsi"/>
          <w:sz w:val="22"/>
          <w:szCs w:val="22"/>
        </w:rPr>
        <w:t xml:space="preserve"> med </w:t>
      </w:r>
      <w:r w:rsidR="008D6283">
        <w:rPr>
          <w:rFonts w:asciiTheme="minorHAnsi" w:hAnsiTheme="minorHAnsi" w:cstheme="minorHAnsi"/>
          <w:sz w:val="22"/>
          <w:szCs w:val="22"/>
        </w:rPr>
        <w:t>g</w:t>
      </w:r>
      <w:r w:rsidRPr="00200889">
        <w:rPr>
          <w:rFonts w:asciiTheme="minorHAnsi" w:hAnsiTheme="minorHAnsi" w:cstheme="minorHAnsi"/>
          <w:sz w:val="22"/>
          <w:szCs w:val="22"/>
        </w:rPr>
        <w:t xml:space="preserve">laukom eller </w:t>
      </w:r>
      <w:r w:rsidR="00E35B53">
        <w:rPr>
          <w:rFonts w:asciiTheme="minorHAnsi" w:hAnsiTheme="minorHAnsi" w:cstheme="minorHAnsi"/>
          <w:sz w:val="22"/>
          <w:szCs w:val="22"/>
        </w:rPr>
        <w:t xml:space="preserve">med </w:t>
      </w:r>
      <w:r w:rsidRPr="00200889">
        <w:rPr>
          <w:rFonts w:asciiTheme="minorHAnsi" w:hAnsiTheme="minorHAnsi" w:cstheme="minorHAnsi"/>
          <w:sz w:val="22"/>
          <w:szCs w:val="22"/>
        </w:rPr>
        <w:t xml:space="preserve">risk för utveckling av glaukom. Ändringarna har avstämts med företrädare för Optikerförbundet. </w:t>
      </w:r>
    </w:p>
    <w:p w14:paraId="54B8C46F" w14:textId="77777777" w:rsidR="00DA0A26" w:rsidRPr="00727FB4" w:rsidRDefault="00371E99" w:rsidP="007A26F3">
      <w:pPr>
        <w:pStyle w:val="Rubrik2Numrerad"/>
        <w:numPr>
          <w:ilvl w:val="0"/>
          <w:numId w:val="0"/>
        </w:numPr>
        <w:ind w:left="907" w:hanging="907"/>
        <w:rPr>
          <w:lang w:val="sv-SE"/>
        </w:rPr>
      </w:pPr>
      <w:bookmarkStart w:id="26" w:name="_Toc118795177"/>
      <w:r w:rsidRPr="00727FB4">
        <w:rPr>
          <w:lang w:val="sv-SE"/>
        </w:rPr>
        <w:t xml:space="preserve">2.5 </w:t>
      </w:r>
      <w:r w:rsidR="00DA0A26" w:rsidRPr="00727FB4">
        <w:rPr>
          <w:lang w:val="sv-SE"/>
        </w:rPr>
        <w:t>Kostnader</w:t>
      </w:r>
      <w:bookmarkEnd w:id="25"/>
      <w:bookmarkEnd w:id="26"/>
    </w:p>
    <w:p w14:paraId="4FCAA1C7" w14:textId="2CBC44CD" w:rsidR="005D546C" w:rsidRPr="00200889" w:rsidRDefault="005D546C" w:rsidP="00E35B53">
      <w:bookmarkStart w:id="27" w:name="_Toc22575673"/>
      <w:r w:rsidRPr="00200889">
        <w:t>Glaukom är en av de tre vanligaste åldersrelaterade kroniska ögonsjukdomarna. De två andra är katarakt (engångsbehandling) och makuladegeneration</w:t>
      </w:r>
      <w:r w:rsidR="00EB0922">
        <w:t xml:space="preserve">, </w:t>
      </w:r>
      <w:r w:rsidRPr="00200889">
        <w:t>där cirka 15</w:t>
      </w:r>
      <w:r w:rsidR="006374CE">
        <w:t xml:space="preserve"> </w:t>
      </w:r>
      <w:r w:rsidRPr="00200889">
        <w:t>% har den våta behandlingsbara varianten. Kontroll och behandling</w:t>
      </w:r>
      <w:r>
        <w:t xml:space="preserve"> av glaukomsjukdomen</w:t>
      </w:r>
      <w:r w:rsidRPr="00200889">
        <w:t xml:space="preserve"> är livslång. Det innebär att personer med glaukom utgör en stor del av ögonsjukvården och därmed borde kräva stora resurser. </w:t>
      </w:r>
      <w:bookmarkStart w:id="28" w:name="_Hlk89261109"/>
      <w:r w:rsidRPr="00200889">
        <w:t>Att personerna är äldre tillsammans med sjukdomens förlopp gör dock att det förekommer en risk för undanträngningseffekter med alltför långa behandlings-</w:t>
      </w:r>
      <w:r w:rsidR="00F25E3C">
        <w:t xml:space="preserve"> </w:t>
      </w:r>
      <w:r w:rsidRPr="00200889">
        <w:t xml:space="preserve">och kontrollintervall som följd. </w:t>
      </w:r>
      <w:bookmarkEnd w:id="28"/>
      <w:r w:rsidRPr="00200889">
        <w:t>Riktlinje</w:t>
      </w:r>
      <w:r w:rsidR="00DF4EDD">
        <w:t>rna</w:t>
      </w:r>
      <w:r w:rsidRPr="00200889">
        <w:t xml:space="preserve"> innebär inte någon större förändring vad gäller behandlingsindikationer eller kontrollintervall jämfört med rådande rekommendation och borde därför inte förändra kostnaderna. Dock tror vi </w:t>
      </w:r>
      <w:r w:rsidR="00034767">
        <w:t xml:space="preserve">att </w:t>
      </w:r>
      <w:r w:rsidRPr="00200889">
        <w:t xml:space="preserve">rekommendationerna </w:t>
      </w:r>
      <w:r w:rsidR="00034767" w:rsidRPr="00200889">
        <w:t xml:space="preserve">inte alltid </w:t>
      </w:r>
      <w:r w:rsidRPr="00200889">
        <w:t xml:space="preserve">följs. Personer med glaukom får ofta stå tillbaka då sjukdomsutvecklingen i många fall är förhållandevis långsam och det tar en tid innan konsekvenserna blir synliga. </w:t>
      </w:r>
    </w:p>
    <w:p w14:paraId="2BAD3353" w14:textId="36BEDEDD" w:rsidR="005D546C" w:rsidRPr="00200889" w:rsidRDefault="005D546C" w:rsidP="00E35B53">
      <w:r w:rsidRPr="00200889">
        <w:t>De nya riktlinje</w:t>
      </w:r>
      <w:r w:rsidR="00FA4DB0">
        <w:t>rna</w:t>
      </w:r>
      <w:r w:rsidRPr="00200889">
        <w:t xml:space="preserve"> kommer förhoppningsvis bli betydligt mer styrande än tidigare vårdprogram, vilket borde ge bättre följsamhet till rutiner inklusive följsamhet till kontrollintervall. Detta skulle dock kunna medföra ökade behov av resurser inom glaukomvården, </w:t>
      </w:r>
      <w:r w:rsidR="00820357">
        <w:t>framför</w:t>
      </w:r>
      <w:r w:rsidR="004456E4">
        <w:t xml:space="preserve"> </w:t>
      </w:r>
      <w:r w:rsidR="00820357">
        <w:t>allt</w:t>
      </w:r>
      <w:r w:rsidRPr="00200889">
        <w:t xml:space="preserve"> i form av mer personal och tid allokerad till verksamheten. I den mån den inte redan finns kan i enstaka fall även behov av bättre, modernare utrustning</w:t>
      </w:r>
      <w:r w:rsidR="009A1D73">
        <w:t xml:space="preserve"> krävas, </w:t>
      </w:r>
      <w:r w:rsidR="00C4787D">
        <w:t xml:space="preserve">som </w:t>
      </w:r>
      <w:r w:rsidRPr="00200889">
        <w:t xml:space="preserve">nya synfältsapparater och uppföljningsprogram. </w:t>
      </w:r>
    </w:p>
    <w:p w14:paraId="2E96CBD3" w14:textId="0B8EE7AB" w:rsidR="005D546C" w:rsidRPr="00200889" w:rsidRDefault="005D546C" w:rsidP="00E35B53">
      <w:r w:rsidRPr="00200889">
        <w:t xml:space="preserve">Samtidigt borde de mer stringenta </w:t>
      </w:r>
      <w:r w:rsidR="00BF71A3">
        <w:t>rekommendationerna</w:t>
      </w:r>
      <w:r w:rsidRPr="00200889">
        <w:t xml:space="preserve"> för remiss samt uppföljning minska antalet onödiga remisser och onödiga uppföljningsbesök vilket rimligtvis </w:t>
      </w:r>
      <w:r>
        <w:t xml:space="preserve">borde </w:t>
      </w:r>
      <w:r w:rsidRPr="00200889">
        <w:t>leda till minskade kostnader för denna del av verksamheten.</w:t>
      </w:r>
    </w:p>
    <w:p w14:paraId="6A161ADE" w14:textId="77777777" w:rsidR="005D546C" w:rsidRPr="00885244" w:rsidRDefault="005D546C" w:rsidP="00E35B53">
      <w:pPr>
        <w:rPr>
          <w:color w:val="FF0000"/>
        </w:rPr>
      </w:pPr>
      <w:r w:rsidRPr="00200889">
        <w:t xml:space="preserve">Om ett nationellt kvalitetsregister skulle upprättas krävs definitivt tillskott av resurser i form av personal för inmatning av uppgifter i ett sådant. Är tillskott inte möjligt krävs omfördelning av </w:t>
      </w:r>
      <w:r>
        <w:t xml:space="preserve">nuvarande </w:t>
      </w:r>
      <w:r w:rsidRPr="00200889">
        <w:t>resurser, vilket inte är en framkomlig väg om man inte vill bortprioritera annat register. Se även avsnitt 2.10.</w:t>
      </w:r>
    </w:p>
    <w:p w14:paraId="2D08BB91" w14:textId="77777777" w:rsidR="00DA0A26" w:rsidRPr="00727FB4" w:rsidRDefault="00371E99" w:rsidP="007A26F3">
      <w:pPr>
        <w:pStyle w:val="Rubrik2Numrerad"/>
        <w:numPr>
          <w:ilvl w:val="0"/>
          <w:numId w:val="0"/>
        </w:numPr>
        <w:ind w:left="907" w:hanging="907"/>
        <w:rPr>
          <w:lang w:val="sv-SE"/>
        </w:rPr>
      </w:pPr>
      <w:bookmarkStart w:id="29" w:name="_Toc118795178"/>
      <w:r w:rsidRPr="00727FB4">
        <w:rPr>
          <w:lang w:val="sv-SE"/>
        </w:rPr>
        <w:t xml:space="preserve">2.6 </w:t>
      </w:r>
      <w:r w:rsidR="00DA0A26" w:rsidRPr="00727FB4">
        <w:rPr>
          <w:lang w:val="sv-SE"/>
        </w:rPr>
        <w:t>Kompetensförsörjning</w:t>
      </w:r>
      <w:bookmarkEnd w:id="27"/>
      <w:bookmarkEnd w:id="29"/>
    </w:p>
    <w:p w14:paraId="0D9322D0" w14:textId="374364BB" w:rsidR="009C54B5" w:rsidRPr="00200889" w:rsidRDefault="009C54B5" w:rsidP="006C1BD3">
      <w:bookmarkStart w:id="30" w:name="_Toc22575674"/>
      <w:r>
        <w:t>Flertalet</w:t>
      </w:r>
      <w:r w:rsidRPr="00200889">
        <w:t xml:space="preserve"> personer med glaukom eller riskfaktorer för glaukom upptäcks av optiker/optometrister eller i primärvården. Personer med manifest glaukom handläggs alltid inom den specialiserade ögonsjukvården. Personer med måttlig</w:t>
      </w:r>
      <w:r w:rsidR="002A7DB6">
        <w:t xml:space="preserve"> till </w:t>
      </w:r>
      <w:r w:rsidRPr="00200889">
        <w:t xml:space="preserve">hög risk för </w:t>
      </w:r>
      <w:r w:rsidR="00124A1F">
        <w:t>att utveckla</w:t>
      </w:r>
      <w:r w:rsidRPr="00200889">
        <w:t xml:space="preserve"> glaukom handläggs också inom </w:t>
      </w:r>
      <w:r w:rsidRPr="00200889">
        <w:lastRenderedPageBreak/>
        <w:t xml:space="preserve">den specialiserade ögonsjukvården, medan personer med ringa risk för </w:t>
      </w:r>
      <w:r w:rsidR="00124A1F">
        <w:t xml:space="preserve">att utveckla </w:t>
      </w:r>
      <w:r w:rsidRPr="00200889">
        <w:t>sjukdom</w:t>
      </w:r>
      <w:r w:rsidR="00124A1F">
        <w:t>en</w:t>
      </w:r>
      <w:r w:rsidRPr="00200889">
        <w:t xml:space="preserve"> kan handläggas av optiker/optometrister utanför sjukvården.</w:t>
      </w:r>
    </w:p>
    <w:p w14:paraId="60AB4001" w14:textId="0DE8AB7A" w:rsidR="009C54B5" w:rsidRDefault="009C54B5" w:rsidP="006C1BD3">
      <w:r w:rsidRPr="006C1BD3">
        <w:t xml:space="preserve">Glaukom är en kronisk sjukdom och behandling och kontroller fortsätter livslångt. Incidens och prevalens ökar med </w:t>
      </w:r>
      <w:r w:rsidR="00727FB4">
        <w:t>stigande</w:t>
      </w:r>
      <w:r w:rsidR="00727FB4" w:rsidRPr="006C1BD3">
        <w:t xml:space="preserve"> </w:t>
      </w:r>
      <w:r w:rsidRPr="006C1BD3">
        <w:t>ålder och antalet personer med glaukom förväntas därför öka i takt med</w:t>
      </w:r>
      <w:r w:rsidRPr="00200889">
        <w:t xml:space="preserve"> att också livslängden ökar. Detta medför ett ökat behov av glaukomkompetenta medarbetare </w:t>
      </w:r>
      <w:r w:rsidR="00A703D6">
        <w:t>framför allt</w:t>
      </w:r>
      <w:r w:rsidRPr="00200889">
        <w:t xml:space="preserve"> ögonläkare</w:t>
      </w:r>
      <w:r w:rsidR="00A703D6">
        <w:t xml:space="preserve">, </w:t>
      </w:r>
      <w:r w:rsidRPr="00200889">
        <w:t>ögonsjuksköterskor, optiker/optometrister</w:t>
      </w:r>
      <w:r w:rsidR="00A703D6">
        <w:t xml:space="preserve">, </w:t>
      </w:r>
      <w:r w:rsidRPr="00200889">
        <w:t>undersköterskor och administrativ personal. Även utökad utbildning och träning av kirurger med glaukomkompetens är i hög grad nödvändig, särskilt som detta kräver lång utbildningstid.</w:t>
      </w:r>
    </w:p>
    <w:p w14:paraId="24C35A48" w14:textId="77777777" w:rsidR="009C54B5" w:rsidRPr="00200889" w:rsidRDefault="009C54B5" w:rsidP="006C1BD3">
      <w:r w:rsidRPr="00200889">
        <w:t>Det vore önskvärt med en standardiserad utbildning för (</w:t>
      </w:r>
      <w:r>
        <w:t xml:space="preserve">än </w:t>
      </w:r>
      <w:r w:rsidRPr="00200889">
        <w:t xml:space="preserve">mer självständiga) glaukomsköterskor och optiker/optometrister vilket skulle avlasta ögonläkare inom offentligt finansierad sjukvård. </w:t>
      </w:r>
    </w:p>
    <w:p w14:paraId="149A8D4F" w14:textId="77777777" w:rsidR="00793E22" w:rsidRDefault="00793E22" w:rsidP="007A26F3">
      <w:pPr>
        <w:pStyle w:val="Rubrik2Numrerad"/>
        <w:numPr>
          <w:ilvl w:val="0"/>
          <w:numId w:val="0"/>
        </w:numPr>
        <w:ind w:left="907" w:hanging="907"/>
        <w:rPr>
          <w:lang w:val="sv-SE"/>
        </w:rPr>
      </w:pPr>
    </w:p>
    <w:p w14:paraId="2B4C9D20" w14:textId="0F2EE1D6" w:rsidR="00DA0A26" w:rsidRPr="00727FB4" w:rsidRDefault="00371E99" w:rsidP="007A26F3">
      <w:pPr>
        <w:pStyle w:val="Rubrik2Numrerad"/>
        <w:numPr>
          <w:ilvl w:val="0"/>
          <w:numId w:val="0"/>
        </w:numPr>
        <w:ind w:left="907" w:hanging="907"/>
        <w:rPr>
          <w:lang w:val="sv-SE"/>
        </w:rPr>
      </w:pPr>
      <w:bookmarkStart w:id="31" w:name="_Toc118795179"/>
      <w:r w:rsidRPr="00727FB4">
        <w:rPr>
          <w:lang w:val="sv-SE"/>
        </w:rPr>
        <w:t xml:space="preserve">2.7 </w:t>
      </w:r>
      <w:r w:rsidR="00DA0A26" w:rsidRPr="00727FB4">
        <w:rPr>
          <w:lang w:val="sv-SE"/>
        </w:rPr>
        <w:t>Påverkan på andra kunskapsstöd</w:t>
      </w:r>
      <w:bookmarkEnd w:id="30"/>
      <w:bookmarkEnd w:id="31"/>
    </w:p>
    <w:p w14:paraId="00C6BDF3" w14:textId="77777777" w:rsidR="0074028E" w:rsidRPr="00200889" w:rsidRDefault="0074028E" w:rsidP="004B3D9A">
      <w:bookmarkStart w:id="32" w:name="_Toc22575675"/>
      <w:r w:rsidRPr="00200889">
        <w:t>Ingen påverkan på andra kunskapsstöd kan identifieras.</w:t>
      </w:r>
    </w:p>
    <w:p w14:paraId="15C55AAA" w14:textId="77777777" w:rsidR="00793E22" w:rsidRDefault="00793E22" w:rsidP="007A26F3">
      <w:pPr>
        <w:pStyle w:val="Rubrik2Numrerad"/>
        <w:numPr>
          <w:ilvl w:val="0"/>
          <w:numId w:val="0"/>
        </w:numPr>
        <w:ind w:left="907" w:hanging="907"/>
        <w:rPr>
          <w:lang w:val="sv-SE"/>
        </w:rPr>
      </w:pPr>
    </w:p>
    <w:p w14:paraId="3D7E0649" w14:textId="082BDCE1" w:rsidR="00DA0A26" w:rsidRPr="00727FB4" w:rsidRDefault="00371E99" w:rsidP="007A26F3">
      <w:pPr>
        <w:pStyle w:val="Rubrik2Numrerad"/>
        <w:numPr>
          <w:ilvl w:val="0"/>
          <w:numId w:val="0"/>
        </w:numPr>
        <w:ind w:left="907" w:hanging="907"/>
        <w:rPr>
          <w:lang w:val="sv-SE"/>
        </w:rPr>
      </w:pPr>
      <w:bookmarkStart w:id="33" w:name="_Toc118795180"/>
      <w:r w:rsidRPr="00727FB4">
        <w:rPr>
          <w:lang w:val="sv-SE"/>
        </w:rPr>
        <w:t xml:space="preserve">2.8 </w:t>
      </w:r>
      <w:r w:rsidR="00DA0A26" w:rsidRPr="00727FB4">
        <w:rPr>
          <w:lang w:val="sv-SE"/>
        </w:rPr>
        <w:t>Påverkan på andra nyckelfrågor i hälso- och sjukvården</w:t>
      </w:r>
      <w:bookmarkEnd w:id="32"/>
      <w:bookmarkEnd w:id="33"/>
    </w:p>
    <w:p w14:paraId="25F85CA4" w14:textId="3DE12ADB" w:rsidR="0029050C" w:rsidRPr="00200889" w:rsidRDefault="004B3D9A" w:rsidP="004B3D9A">
      <w:bookmarkStart w:id="34" w:name="_Toc22575677"/>
      <w:r>
        <w:t>Riktlinje</w:t>
      </w:r>
      <w:r w:rsidR="003F49C7">
        <w:t>rna</w:t>
      </w:r>
      <w:r w:rsidR="0029050C" w:rsidRPr="00200889">
        <w:t xml:space="preserve"> påverkar optikers och optometrister</w:t>
      </w:r>
      <w:r w:rsidR="0029050C">
        <w:t xml:space="preserve">s </w:t>
      </w:r>
      <w:r w:rsidR="0029050C" w:rsidRPr="00200889">
        <w:t>verksamhet men är utforma</w:t>
      </w:r>
      <w:r w:rsidR="006674E1">
        <w:t>d</w:t>
      </w:r>
      <w:r w:rsidR="003F49C7">
        <w:t>e</w:t>
      </w:r>
      <w:r w:rsidR="0029050C" w:rsidRPr="00200889">
        <w:t xml:space="preserve"> i samråd med Optikerförbundet</w:t>
      </w:r>
      <w:r w:rsidR="006674E1">
        <w:t>,</w:t>
      </w:r>
      <w:r w:rsidR="0029050C" w:rsidRPr="00200889">
        <w:t xml:space="preserve"> som företräder dessa professioner. Diagnostik, behandling och uppföljning av glaukom ska ske inom den specialiserade ögonsjukvården och är inte aktuellt för annan vårdnivå. </w:t>
      </w:r>
    </w:p>
    <w:p w14:paraId="14D9A908" w14:textId="77777777" w:rsidR="00793E22" w:rsidRDefault="00793E22" w:rsidP="007A26F3">
      <w:pPr>
        <w:pStyle w:val="Rubrik2Numrerad"/>
        <w:numPr>
          <w:ilvl w:val="0"/>
          <w:numId w:val="0"/>
        </w:numPr>
        <w:ind w:left="907" w:hanging="907"/>
        <w:rPr>
          <w:lang w:val="sv-SE"/>
        </w:rPr>
      </w:pPr>
    </w:p>
    <w:p w14:paraId="49325B0A" w14:textId="4F33E4B4" w:rsidR="00DA0A26" w:rsidRPr="00727FB4" w:rsidRDefault="00371E99" w:rsidP="007A26F3">
      <w:pPr>
        <w:pStyle w:val="Rubrik2Numrerad"/>
        <w:numPr>
          <w:ilvl w:val="0"/>
          <w:numId w:val="0"/>
        </w:numPr>
        <w:ind w:left="907" w:hanging="907"/>
        <w:rPr>
          <w:lang w:val="sv-SE"/>
        </w:rPr>
      </w:pPr>
      <w:bookmarkStart w:id="35" w:name="_Toc118795181"/>
      <w:r w:rsidRPr="00727FB4">
        <w:rPr>
          <w:lang w:val="sv-SE"/>
        </w:rPr>
        <w:t xml:space="preserve">2.9 </w:t>
      </w:r>
      <w:r w:rsidR="00DA0A26" w:rsidRPr="00727FB4">
        <w:rPr>
          <w:lang w:val="sv-SE"/>
        </w:rPr>
        <w:t>Uppföljning</w:t>
      </w:r>
      <w:bookmarkEnd w:id="34"/>
      <w:bookmarkEnd w:id="35"/>
    </w:p>
    <w:p w14:paraId="1540F0ED" w14:textId="41632D4A" w:rsidR="00467DE0" w:rsidRPr="00200889" w:rsidRDefault="00467DE0" w:rsidP="00CD2ECF">
      <w:bookmarkStart w:id="36" w:name="_Toc22575678"/>
      <w:r w:rsidRPr="00200889">
        <w:t xml:space="preserve">Ett nationellt kvalitetsregister för glaukom finns inte men vore </w:t>
      </w:r>
      <w:r>
        <w:t>önskvärt</w:t>
      </w:r>
      <w:r w:rsidRPr="00200889">
        <w:t xml:space="preserve"> då det skulle ge </w:t>
      </w:r>
      <w:r>
        <w:t>större möjlighet</w:t>
      </w:r>
      <w:r w:rsidRPr="00200889">
        <w:t xml:space="preserve"> att tillförsäkra patienter likvärdig behandling och uppföljning i hela landet. Annan datainsamling (</w:t>
      </w:r>
      <w:r w:rsidR="00CD2ECF">
        <w:t>till exempel</w:t>
      </w:r>
      <w:r w:rsidRPr="00200889">
        <w:t xml:space="preserve"> NAG glaukoms väntetidsenkät) är oerhört tidsödande och </w:t>
      </w:r>
      <w:r w:rsidR="00B24997">
        <w:t>inte</w:t>
      </w:r>
      <w:r w:rsidRPr="00200889">
        <w:t xml:space="preserve"> hållbart i ett längre perspektiv.</w:t>
      </w:r>
    </w:p>
    <w:p w14:paraId="27CE5693" w14:textId="77777777" w:rsidR="00793E22" w:rsidRDefault="00793E22" w:rsidP="007A26F3">
      <w:pPr>
        <w:pStyle w:val="Rubrik2Numrerad"/>
        <w:numPr>
          <w:ilvl w:val="0"/>
          <w:numId w:val="0"/>
        </w:numPr>
        <w:ind w:left="907" w:hanging="907"/>
        <w:rPr>
          <w:lang w:val="sv-SE"/>
        </w:rPr>
      </w:pPr>
    </w:p>
    <w:p w14:paraId="1B4F3B1D" w14:textId="7D365100" w:rsidR="00DA0A26" w:rsidRPr="00727FB4" w:rsidRDefault="00371E99" w:rsidP="007A26F3">
      <w:pPr>
        <w:pStyle w:val="Rubrik2Numrerad"/>
        <w:numPr>
          <w:ilvl w:val="0"/>
          <w:numId w:val="0"/>
        </w:numPr>
        <w:ind w:left="907" w:hanging="907"/>
        <w:rPr>
          <w:lang w:val="sv-SE"/>
        </w:rPr>
      </w:pPr>
      <w:bookmarkStart w:id="37" w:name="_Toc118795182"/>
      <w:r w:rsidRPr="00727FB4">
        <w:rPr>
          <w:lang w:val="sv-SE"/>
        </w:rPr>
        <w:t xml:space="preserve">2.10 </w:t>
      </w:r>
      <w:r w:rsidR="00DA0A26" w:rsidRPr="00727FB4">
        <w:rPr>
          <w:lang w:val="sv-SE"/>
        </w:rPr>
        <w:t>Övriga konsekvenser</w:t>
      </w:r>
      <w:bookmarkEnd w:id="36"/>
      <w:bookmarkEnd w:id="37"/>
    </w:p>
    <w:p w14:paraId="499B9071" w14:textId="070D8DBA" w:rsidR="00DA0A26" w:rsidRDefault="00904334" w:rsidP="00B24997">
      <w:r w:rsidRPr="00200889">
        <w:t>Önskvärt vore att ett fåtal utvalda specifika journaluppgifter från samtliga vårdinrättningar automatiskt kunde överföras till ett nationellt kvalitetsregister. Liknande lösning existerar redan i Finland</w:t>
      </w:r>
      <w:r w:rsidR="00B24997">
        <w:t xml:space="preserve"> [33].</w:t>
      </w:r>
    </w:p>
    <w:p w14:paraId="6445A397" w14:textId="77777777" w:rsidR="00793E22" w:rsidRDefault="00793E22" w:rsidP="0008762B">
      <w:pPr>
        <w:pStyle w:val="Rubrik1"/>
      </w:pPr>
      <w:bookmarkStart w:id="38" w:name="_Toc89123587"/>
      <w:bookmarkStart w:id="39" w:name="_Toc90319009"/>
    </w:p>
    <w:p w14:paraId="7FD9A0EA" w14:textId="77777777" w:rsidR="00793E22" w:rsidRDefault="00793E22" w:rsidP="0008762B">
      <w:pPr>
        <w:pStyle w:val="Rubrik1"/>
      </w:pPr>
    </w:p>
    <w:p w14:paraId="09A586AA" w14:textId="77777777" w:rsidR="00793E22" w:rsidRDefault="00793E22" w:rsidP="0008762B">
      <w:pPr>
        <w:pStyle w:val="Rubrik1"/>
      </w:pPr>
    </w:p>
    <w:p w14:paraId="0BC9A20A" w14:textId="77777777" w:rsidR="00793E22" w:rsidRDefault="00793E22">
      <w:pPr>
        <w:spacing w:before="0" w:after="200" w:line="276" w:lineRule="auto"/>
        <w:rPr>
          <w:rFonts w:asciiTheme="majorHAnsi" w:eastAsiaTheme="majorEastAsia" w:hAnsiTheme="majorHAnsi" w:cstheme="majorBidi"/>
          <w:b/>
          <w:bCs/>
          <w:sz w:val="40"/>
          <w:szCs w:val="28"/>
        </w:rPr>
      </w:pPr>
      <w:r>
        <w:br w:type="page"/>
      </w:r>
    </w:p>
    <w:p w14:paraId="19DAEF7B" w14:textId="3302C198" w:rsidR="004241C9" w:rsidRPr="003131AE" w:rsidRDefault="004241C9" w:rsidP="0008762B">
      <w:pPr>
        <w:pStyle w:val="Rubrik1"/>
      </w:pPr>
      <w:bookmarkStart w:id="40" w:name="_Toc118795183"/>
      <w:r w:rsidRPr="003131AE">
        <w:lastRenderedPageBreak/>
        <w:t>Referens</w:t>
      </w:r>
      <w:bookmarkEnd w:id="38"/>
      <w:bookmarkEnd w:id="39"/>
      <w:r w:rsidR="006E5F3C">
        <w:t>er</w:t>
      </w:r>
      <w:bookmarkEnd w:id="40"/>
      <w:r w:rsidR="00B24997">
        <w:t xml:space="preserve"> </w:t>
      </w:r>
    </w:p>
    <w:p w14:paraId="7F21F096" w14:textId="77777777" w:rsidR="004241C9" w:rsidRPr="00A036A9" w:rsidRDefault="004241C9" w:rsidP="004241C9">
      <w:pPr>
        <w:pStyle w:val="Liststycke"/>
        <w:numPr>
          <w:ilvl w:val="0"/>
          <w:numId w:val="15"/>
        </w:numPr>
        <w:spacing w:before="0" w:after="200" w:line="276" w:lineRule="auto"/>
        <w:ind w:left="284" w:hanging="284"/>
        <w:rPr>
          <w:rFonts w:cstheme="minorHAnsi"/>
          <w:lang w:val="en-US"/>
        </w:rPr>
      </w:pPr>
      <w:r w:rsidRPr="00A036A9">
        <w:rPr>
          <w:rFonts w:cstheme="minorHAnsi"/>
          <w:lang w:val="en-GB"/>
        </w:rPr>
        <w:t xml:space="preserve">European Glaucoma </w:t>
      </w:r>
      <w:r w:rsidRPr="00A036A9">
        <w:rPr>
          <w:rFonts w:cstheme="minorHAnsi"/>
          <w:lang w:val="en-US"/>
        </w:rPr>
        <w:t>Society, Terminology and Guidelines for Glaucoma, 5th ed., 2020</w:t>
      </w:r>
    </w:p>
    <w:p w14:paraId="54179F74" w14:textId="77777777" w:rsidR="004241C9" w:rsidRPr="0070365C" w:rsidRDefault="004241C9" w:rsidP="004241C9">
      <w:pPr>
        <w:pStyle w:val="Liststycke"/>
        <w:numPr>
          <w:ilvl w:val="0"/>
          <w:numId w:val="15"/>
        </w:numPr>
        <w:spacing w:before="0" w:after="200" w:line="276" w:lineRule="auto"/>
        <w:ind w:left="284" w:hanging="284"/>
        <w:rPr>
          <w:rFonts w:cstheme="minorHAnsi"/>
          <w:color w:val="0070C0"/>
          <w:lang w:val="en-US"/>
        </w:rPr>
      </w:pPr>
      <w:r w:rsidRPr="00A036A9">
        <w:rPr>
          <w:rFonts w:cstheme="minorHAnsi"/>
          <w:lang w:val="en-US"/>
        </w:rPr>
        <w:t xml:space="preserve">Tuulonen A, Forsman E, Hagman J, Harju M, Kari O, Lumme P, Luodonpää M, Määttä M, MD, PhD, Saarela V, Vaajanen A, Komulainen J. How to interpret evidence in everyday practice: The Finnish Current Care Guideline for open-angle glaucoma. </w:t>
      </w:r>
      <w:hyperlink r:id="rId11" w:history="1">
        <w:r w:rsidRPr="0070365C">
          <w:rPr>
            <w:rStyle w:val="Hyperlnk"/>
            <w:rFonts w:cstheme="minorHAnsi"/>
            <w:color w:val="0070C0"/>
            <w:lang w:val="en-US"/>
          </w:rPr>
          <w:t>International Council of Ophthalmology : Resources : Finnish Guideline For Glaucoma Care (icoph.org)</w:t>
        </w:r>
      </w:hyperlink>
    </w:p>
    <w:p w14:paraId="294D13D0" w14:textId="77777777" w:rsidR="004241C9" w:rsidRPr="00A036A9" w:rsidRDefault="004241C9" w:rsidP="004241C9">
      <w:pPr>
        <w:pStyle w:val="Liststycke"/>
        <w:numPr>
          <w:ilvl w:val="0"/>
          <w:numId w:val="15"/>
        </w:numPr>
        <w:spacing w:before="0" w:after="360" w:line="276" w:lineRule="auto"/>
        <w:ind w:left="284" w:hanging="284"/>
        <w:rPr>
          <w:rFonts w:eastAsiaTheme="minorEastAsia" w:cstheme="minorHAnsi"/>
          <w:kern w:val="24"/>
        </w:rPr>
      </w:pPr>
      <w:r w:rsidRPr="00A036A9">
        <w:rPr>
          <w:rFonts w:cstheme="minorHAnsi"/>
          <w:lang w:val="en-GB"/>
        </w:rPr>
        <w:t xml:space="preserve">Heijl A, Alm A, Bengtsson B, Bergström A, Calissendorff B, Lindblom B, Lindén C. Swedish Ophthalmological Society. The Glaucoma Guidelines of the Swedish Ophthalmological Society. Acta Ophthalmol Suppl. </w:t>
      </w:r>
      <w:r w:rsidRPr="00A036A9">
        <w:rPr>
          <w:rFonts w:cstheme="minorHAnsi"/>
        </w:rPr>
        <w:t xml:space="preserve">2012 Dec;(251):1-40 </w:t>
      </w:r>
      <w:r w:rsidRPr="00A036A9">
        <w:rPr>
          <w:rFonts w:cstheme="minorHAnsi"/>
          <w:i/>
          <w:iCs/>
        </w:rPr>
        <w:t>eller</w:t>
      </w:r>
      <w:r w:rsidRPr="00A036A9">
        <w:rPr>
          <w:rFonts w:cstheme="minorHAnsi"/>
        </w:rPr>
        <w:br/>
        <w:t>Sveriges Ögonläkarförening. Heijl A, Alm A, Bengtsson B, Bergström A, Calissendorff B, Lindblom B, Lindén C. Riktlinjer för Glaukomsjukvården. Bäcklund Media, Malmö. 2010.</w:t>
      </w:r>
      <w:r w:rsidRPr="00A036A9">
        <w:rPr>
          <w:rFonts w:cstheme="minorHAnsi"/>
          <w:lang w:val="en-GB"/>
        </w:rPr>
        <w:t xml:space="preserve"> ISBN 978-91-633-7775-4.</w:t>
      </w:r>
    </w:p>
    <w:p w14:paraId="0CFDD0E8" w14:textId="77777777" w:rsidR="004241C9" w:rsidRPr="00A036A9" w:rsidRDefault="004241C9" w:rsidP="004241C9">
      <w:pPr>
        <w:pStyle w:val="Liststycke"/>
        <w:numPr>
          <w:ilvl w:val="0"/>
          <w:numId w:val="15"/>
        </w:numPr>
        <w:spacing w:before="0" w:after="200" w:line="276" w:lineRule="auto"/>
        <w:ind w:left="284" w:hanging="284"/>
        <w:rPr>
          <w:rFonts w:eastAsia="AGaramondPro-Regular" w:cstheme="minorHAnsi"/>
          <w:color w:val="231F20"/>
          <w:lang w:val="en-US"/>
        </w:rPr>
      </w:pPr>
      <w:r w:rsidRPr="00A036A9">
        <w:rPr>
          <w:rFonts w:eastAsiaTheme="minorEastAsia" w:cstheme="minorHAnsi"/>
          <w:iCs/>
          <w:kern w:val="24"/>
          <w:lang w:val="en-US"/>
        </w:rPr>
        <w:t>Rudnicka AR, Mt-Isa S, Owen CG, Cook DG, Ashby D. Variations in primary open-angle glaucoma prevalence by age, gender, and race: a Bayesian metaanalysis. Invest Ophthalmol Vis Sci 2006;47:4254-61.</w:t>
      </w:r>
    </w:p>
    <w:p w14:paraId="00440C8E" w14:textId="77777777" w:rsidR="004241C9" w:rsidRPr="00A036A9" w:rsidRDefault="004241C9" w:rsidP="004241C9">
      <w:pPr>
        <w:pStyle w:val="Liststycke"/>
        <w:numPr>
          <w:ilvl w:val="0"/>
          <w:numId w:val="15"/>
        </w:numPr>
        <w:spacing w:before="0" w:after="200" w:line="276" w:lineRule="auto"/>
        <w:ind w:left="284" w:hanging="284"/>
        <w:rPr>
          <w:rFonts w:eastAsia="AGaramondPro-Regular" w:cstheme="minorHAnsi"/>
          <w:color w:val="231F20"/>
        </w:rPr>
      </w:pPr>
      <w:r w:rsidRPr="00A036A9">
        <w:rPr>
          <w:rFonts w:eastAsiaTheme="minorEastAsia" w:cstheme="minorHAnsi"/>
          <w:iCs/>
          <w:kern w:val="24"/>
          <w:lang w:val="en-US"/>
        </w:rPr>
        <w:t>Bengtsson B. The prevalence of glaucoma. Br J Ophthalmol 1981;65:46–9.</w:t>
      </w:r>
      <w:r w:rsidRPr="00A036A9">
        <w:rPr>
          <w:rFonts w:eastAsia="AGaramondPro-Regular" w:cstheme="minorHAnsi"/>
          <w:color w:val="231F20"/>
          <w:lang w:val="en-US"/>
        </w:rPr>
        <w:t xml:space="preserve"> </w:t>
      </w:r>
    </w:p>
    <w:p w14:paraId="4DA266DF"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Ekström C. Prevalence of open-angle glaucoma in central Sweden. The Tierp Glaucoma Survey. Acta Ophthalmol Scand 1981;74:107–12.</w:t>
      </w:r>
    </w:p>
    <w:p w14:paraId="6A515732"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Åström S, Linden C. Incidence and prevalence of pseudoexfoliation and open-angle glaucoma in northern Sweden: I. Baseline report. Acta Ophthalmol Scand 2007;85:828-31.</w:t>
      </w:r>
    </w:p>
    <w:p w14:paraId="4D8B0DC1" w14:textId="77777777" w:rsidR="004241C9" w:rsidRPr="00A036A9" w:rsidRDefault="004241C9" w:rsidP="004241C9">
      <w:pPr>
        <w:pStyle w:val="Liststycke"/>
        <w:numPr>
          <w:ilvl w:val="0"/>
          <w:numId w:val="15"/>
        </w:numPr>
        <w:spacing w:before="0" w:after="200" w:line="276" w:lineRule="auto"/>
        <w:ind w:left="284" w:hanging="284"/>
        <w:rPr>
          <w:rFonts w:eastAsia="AGaramondPro-Regular" w:cstheme="minorHAnsi"/>
          <w:color w:val="231F20"/>
          <w:lang w:val="en-US"/>
        </w:rPr>
      </w:pPr>
      <w:r w:rsidRPr="00A036A9">
        <w:rPr>
          <w:rFonts w:eastAsiaTheme="minorEastAsia" w:cstheme="minorHAnsi"/>
          <w:iCs/>
          <w:kern w:val="24"/>
          <w:lang w:val="en-US"/>
        </w:rPr>
        <w:t>Ekström C. Incidence of open-angle glaucoma in central Sweden. Acta Ophthalmol 2008;86:747–54.</w:t>
      </w:r>
    </w:p>
    <w:p w14:paraId="6A9B70DD"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Åström S, Stenlund H, Linden C. Incidence and prevalence of pseudoexfoliations and open-angle glaucoma in northern Sweden: II. Results after 21 years of follow-up. Acta Ophthalmol Scand 2007;85:832–7.</w:t>
      </w:r>
    </w:p>
    <w:p w14:paraId="6845C0A0" w14:textId="0BB60CBF"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 xml:space="preserve"> Leske MC. Open-angle glaucoma – an epidemiologic overview. Ophthalmic Epidemiol 2007;14:166-7</w:t>
      </w:r>
      <w:r w:rsidR="00727FB4">
        <w:rPr>
          <w:rFonts w:eastAsiaTheme="minorEastAsia" w:cstheme="minorHAnsi"/>
          <w:iCs/>
          <w:kern w:val="24"/>
          <w:lang w:val="en-US"/>
        </w:rPr>
        <w:t>2</w:t>
      </w:r>
      <w:r w:rsidRPr="00A036A9">
        <w:rPr>
          <w:rFonts w:eastAsiaTheme="minorEastAsia" w:cstheme="minorHAnsi"/>
          <w:iCs/>
          <w:kern w:val="24"/>
          <w:lang w:val="en-US"/>
        </w:rPr>
        <w:t>.</w:t>
      </w:r>
    </w:p>
    <w:p w14:paraId="56FB9B02"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 xml:space="preserve"> Bro T, Wickström K, Lindén C. The future is old - Patients with topical ocular hypotensive treatment in the Nordic region between 2008 and 2017 with projections for 2040.</w:t>
      </w:r>
      <w:r w:rsidRPr="00A036A9">
        <w:rPr>
          <w:rFonts w:eastAsia="Times New Roman" w:cstheme="minorHAnsi"/>
          <w:color w:val="5B616B"/>
          <w:lang w:val="en-US" w:eastAsia="sv-SE"/>
        </w:rPr>
        <w:t xml:space="preserve"> </w:t>
      </w:r>
      <w:r w:rsidRPr="00A036A9">
        <w:rPr>
          <w:rFonts w:eastAsiaTheme="minorEastAsia" w:cstheme="minorHAnsi"/>
          <w:iCs/>
          <w:kern w:val="24"/>
          <w:lang w:val="en-US"/>
        </w:rPr>
        <w:t>Acta Ophthalmol 2021 Dec;99(8):e1442-e1448.  doi: 10.1111/aos.14848. Epub 2021 Mar 15.</w:t>
      </w:r>
    </w:p>
    <w:p w14:paraId="0D767040"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rPr>
      </w:pPr>
      <w:r w:rsidRPr="00A036A9">
        <w:rPr>
          <w:rFonts w:eastAsiaTheme="minorEastAsia" w:cstheme="minorHAnsi"/>
          <w:iCs/>
          <w:kern w:val="24"/>
        </w:rPr>
        <w:t xml:space="preserve"> Statistiska Centralbyrån</w:t>
      </w:r>
      <w:r w:rsidRPr="0070365C">
        <w:rPr>
          <w:rFonts w:eastAsiaTheme="minorEastAsia" w:cstheme="minorHAnsi"/>
          <w:iCs/>
          <w:color w:val="0070C0"/>
          <w:kern w:val="24"/>
        </w:rPr>
        <w:t xml:space="preserve">. </w:t>
      </w:r>
      <w:hyperlink r:id="rId12" w:history="1">
        <w:r w:rsidRPr="0070365C">
          <w:rPr>
            <w:rStyle w:val="Hyperlnk"/>
            <w:rFonts w:eastAsiaTheme="minorEastAsia" w:cstheme="minorHAnsi"/>
            <w:iCs/>
            <w:color w:val="0070C0"/>
            <w:kern w:val="24"/>
          </w:rPr>
          <w:t>https://www.statistikdatabasen.scb.se/</w:t>
        </w:r>
      </w:hyperlink>
      <w:r w:rsidRPr="00A036A9">
        <w:rPr>
          <w:rFonts w:eastAsiaTheme="minorEastAsia" w:cstheme="minorHAnsi"/>
          <w:iCs/>
          <w:kern w:val="24"/>
        </w:rPr>
        <w:t xml:space="preserve"> 2021-12-01.</w:t>
      </w:r>
    </w:p>
    <w:p w14:paraId="13BCF688"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rPr>
      </w:pPr>
      <w:r w:rsidRPr="00A036A9">
        <w:rPr>
          <w:rFonts w:eastAsiaTheme="minorEastAsia" w:cstheme="minorHAnsi"/>
          <w:iCs/>
          <w:kern w:val="24"/>
        </w:rPr>
        <w:t xml:space="preserve"> SBU. Diagnostik, uppföljning och behandling av öppenvinkelglaukom (grön starr). En systematisk litteraturöversikt. Stockholm: Statens beredning for medicinsk utvärdering (SBU). Stockholm. 2008.</w:t>
      </w:r>
    </w:p>
    <w:p w14:paraId="534A8A7C"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rPr>
      </w:pPr>
      <w:r w:rsidRPr="00A036A9">
        <w:rPr>
          <w:rFonts w:eastAsiaTheme="minorEastAsia" w:cstheme="minorHAnsi"/>
          <w:iCs/>
          <w:kern w:val="24"/>
        </w:rPr>
        <w:t xml:space="preserve"> Socialstyrelsens öppna statistikdatabas. </w:t>
      </w:r>
      <w:hyperlink r:id="rId13" w:history="1">
        <w:r w:rsidRPr="0070365C">
          <w:rPr>
            <w:rStyle w:val="Hyperlnk"/>
            <w:rFonts w:eastAsiaTheme="minorEastAsia" w:cstheme="minorHAnsi"/>
            <w:iCs/>
            <w:color w:val="0070C0"/>
            <w:kern w:val="24"/>
          </w:rPr>
          <w:t>https://www.socialstyrelsen.se/statistik-och-data/statistik/statistikdatabasen/</w:t>
        </w:r>
      </w:hyperlink>
      <w:r w:rsidRPr="0070365C">
        <w:rPr>
          <w:rFonts w:eastAsiaTheme="minorEastAsia" w:cstheme="minorHAnsi"/>
          <w:iCs/>
          <w:color w:val="0070C0"/>
          <w:kern w:val="24"/>
        </w:rPr>
        <w:t xml:space="preserve"> 2021-1</w:t>
      </w:r>
      <w:r w:rsidRPr="00A036A9">
        <w:rPr>
          <w:rFonts w:eastAsiaTheme="minorEastAsia" w:cstheme="minorHAnsi"/>
          <w:iCs/>
          <w:kern w:val="24"/>
        </w:rPr>
        <w:t>1-13.</w:t>
      </w:r>
    </w:p>
    <w:p w14:paraId="6DAF9109"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rPr>
        <w:t xml:space="preserve"> </w:t>
      </w:r>
      <w:r w:rsidRPr="00A036A9">
        <w:rPr>
          <w:rFonts w:eastAsiaTheme="minorEastAsia" w:cstheme="minorHAnsi"/>
          <w:iCs/>
          <w:kern w:val="24"/>
          <w:lang w:val="en-US"/>
        </w:rPr>
        <w:t>Sommer A, JM Tielsch, J Katz, HA Quigley, JD Gottsch, J Javitt, Singh K. Relationship between Intraocular-Pressure and Primary Open Angle Glaucoma among White and Black-Americans - the Baltimore Eye Survey. Archives of Ophthalmology 1991;109:1090-1095.</w:t>
      </w:r>
    </w:p>
    <w:p w14:paraId="035BE5E2"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 xml:space="preserve"> Klein BE, R Klein, WE Sponsel, T Franke, LB Cantor, J Martone, Menage MJ. Prevalence of glaucoma. The Beaver Dam Eye Study. Ophthalmology 1992; 99: 499-1504.</w:t>
      </w:r>
    </w:p>
    <w:p w14:paraId="778EB9E2"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rPr>
      </w:pPr>
      <w:r w:rsidRPr="00A036A9">
        <w:rPr>
          <w:rFonts w:eastAsiaTheme="minorEastAsia" w:cstheme="minorHAnsi"/>
          <w:iCs/>
          <w:kern w:val="24"/>
          <w:lang w:val="en-US"/>
        </w:rPr>
        <w:lastRenderedPageBreak/>
        <w:t xml:space="preserve">Dielemans I, JR Vingerling, RC Wolfs, A Hofman, DE Grobbee, de Jong PT. The prevalence of primary open-angle glaucoma in a population-based study in The Netherlands. </w:t>
      </w:r>
      <w:r w:rsidRPr="00A036A9">
        <w:rPr>
          <w:rFonts w:eastAsiaTheme="minorEastAsia" w:cstheme="minorHAnsi"/>
          <w:iCs/>
          <w:kern w:val="24"/>
        </w:rPr>
        <w:t>The Rotterdam Study. Ophthalmology 1994;101:1851-1855.</w:t>
      </w:r>
    </w:p>
    <w:p w14:paraId="397E0871"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 xml:space="preserve"> Weih LM, M Nanjan, CA McCarty, Taylor HR. Prevalence and predictors of open-angle glaucoma: results from the visual impairment project. Ophthalmology 2001;108:1966-1972.</w:t>
      </w:r>
    </w:p>
    <w:p w14:paraId="33169BE9"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Topouzis F, AL Coleman, A Harris, A Koskosas, P Founti, G Gong, F Yu, E Anastasopoulos, T Pappas,  Wilson MR. Factors associated with undiagnosed open-angle glaucoma: the Thessaloniki Eye Study. Am J Ophthalmol  2008;145: 327-335.</w:t>
      </w:r>
    </w:p>
    <w:p w14:paraId="056810B7"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 xml:space="preserve"> Karvonen E, K Stoor, M Luodonpaa, P Hagg, J Kuoppala, T Lintonen, P Ohtonen, A Tuulonen, Saarela V. Prevalence of glaucoma in the Northern Finland Birth Cohort Eye Study. Acta Ophthalmol 2019; 97: 200-207.</w:t>
      </w:r>
    </w:p>
    <w:p w14:paraId="0455F282"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 xml:space="preserve"> McCann P, R Hogg, DM Wright, S Pose-Bazarra, U Chakravarthy, T Peto, S Cruise, B McGuinness, IS Young, F Kee, Azuara-Blanco A. Glaucoma in the Northern Ireland Cohort for the Longitudinal Study of Ageing (NICOLA): cohort profile, prevalence, awareness and associations. Br J Ophthalmol 2020; 104: 1492-1499.</w:t>
      </w:r>
    </w:p>
    <w:p w14:paraId="70451747"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 xml:space="preserve"> Grodum K, Heijl A &amp; Bengtsson B. A comparison of glaucoma patients identified through mass screening and in routine clinical practice. Acta Ophthalmol Scand 2002;80:627–31.</w:t>
      </w:r>
    </w:p>
    <w:p w14:paraId="259AE586"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rPr>
      </w:pPr>
      <w:r w:rsidRPr="00A036A9">
        <w:rPr>
          <w:rFonts w:eastAsiaTheme="minorEastAsia" w:cstheme="minorHAnsi"/>
          <w:iCs/>
          <w:kern w:val="24"/>
          <w:lang w:val="en-US"/>
        </w:rPr>
        <w:t>B</w:t>
      </w:r>
      <w:r w:rsidRPr="00A036A9">
        <w:rPr>
          <w:rFonts w:cstheme="minorHAnsi"/>
          <w:color w:val="000000"/>
          <w:lang w:val="en-US"/>
        </w:rPr>
        <w:t>oodhna T, Crabb DP. Disease severity in newly diagnosed glaucoma patients with visual field loss: trends from more than a decade of data. Ophthalmic Physiol Opt. 2015 Mar;35(2):225-30.</w:t>
      </w:r>
    </w:p>
    <w:p w14:paraId="4263FA5B"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Aspberg J, Heijl A, Bengtsson B. Screening for Open-Angle Glaucoma and Its Effect on Blindness. Am J Ophthalmol. 2021 Aug;228:106-116.</w:t>
      </w:r>
    </w:p>
    <w:p w14:paraId="10884323"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727FB4">
        <w:rPr>
          <w:rFonts w:eastAsiaTheme="minorEastAsia" w:cstheme="minorHAnsi"/>
          <w:iCs/>
          <w:kern w:val="24"/>
        </w:rPr>
        <w:t xml:space="preserve"> </w:t>
      </w:r>
      <w:r w:rsidRPr="00A036A9">
        <w:rPr>
          <w:rFonts w:eastAsiaTheme="minorEastAsia" w:cstheme="minorHAnsi"/>
          <w:iCs/>
          <w:kern w:val="24"/>
        </w:rPr>
        <w:t xml:space="preserve">Burr JM, Mowatt G, Hernandez R et al. </w:t>
      </w:r>
      <w:r w:rsidRPr="00A036A9">
        <w:rPr>
          <w:rFonts w:eastAsiaTheme="minorEastAsia" w:cstheme="minorHAnsi"/>
          <w:iCs/>
          <w:kern w:val="24"/>
          <w:lang w:val="en-US"/>
        </w:rPr>
        <w:t xml:space="preserve">The clinical effectiveness and cost-effectiveness of screening for open angle glaucoma: a systematic review and economic evaluation. </w:t>
      </w:r>
      <w:r w:rsidRPr="00A036A9">
        <w:rPr>
          <w:rFonts w:eastAsiaTheme="minorEastAsia" w:cstheme="minorHAnsi"/>
          <w:kern w:val="24"/>
          <w:lang w:val="en-US"/>
        </w:rPr>
        <w:t>Health Technol Assess.</w:t>
      </w:r>
      <w:r w:rsidRPr="00A036A9">
        <w:rPr>
          <w:rFonts w:eastAsiaTheme="minorEastAsia" w:cstheme="minorHAnsi"/>
          <w:iCs/>
          <w:kern w:val="24"/>
          <w:lang w:val="en-US"/>
        </w:rPr>
        <w:t> 2007; 11 (iii–iv, ix–x): 1-190.</w:t>
      </w:r>
    </w:p>
    <w:p w14:paraId="56845388"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 xml:space="preserve"> Weinreb RH, Healey PR, Topouzis F, eds. </w:t>
      </w:r>
      <w:r w:rsidRPr="00A036A9">
        <w:rPr>
          <w:rFonts w:eastAsiaTheme="minorEastAsia" w:cstheme="minorHAnsi"/>
          <w:kern w:val="24"/>
          <w:lang w:val="en-US"/>
        </w:rPr>
        <w:t>Glaucoma Screening. WGA Consensus Series; No. 5. Amsterdam, The Nether- lands: Kugler Publications; 2008. Available at https://www.kuglerpublications.com/index.php?p=269&amp;page=publication</w:t>
      </w:r>
      <w:r w:rsidRPr="00A036A9">
        <w:rPr>
          <w:rFonts w:eastAsiaTheme="minorEastAsia" w:cstheme="minorHAnsi"/>
          <w:iCs/>
          <w:kern w:val="24"/>
          <w:lang w:val="en-US"/>
        </w:rPr>
        <w:t>.</w:t>
      </w:r>
    </w:p>
    <w:p w14:paraId="2D855CA1"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 xml:space="preserve"> Burr J, Hernandez R, Ramsay C, Prior M , Campbell S, Azuara-Blanco A, Campbell M , Francis J, Vale L. Is it worthwhile to conduct a randomized controlled trial of glaucoma screening in the United Kingdom? </w:t>
      </w:r>
      <w:r w:rsidRPr="00A036A9">
        <w:rPr>
          <w:rFonts w:eastAsiaTheme="minorEastAsia" w:cstheme="minorHAnsi"/>
          <w:iCs/>
          <w:kern w:val="24"/>
        </w:rPr>
        <w:t>Health Technol Assess . 2007;11(41):1–190 iii–iv, ix–x.</w:t>
      </w:r>
    </w:p>
    <w:p w14:paraId="703F4641"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 xml:space="preserve"> Founti P, Coleman AL, Wilson MR, Yu F, Anastasopoulos E, Harris A, Pappas T, Koskosas A, Kilintzis V, Salonikiou A, Raptou A, Topouzis F. Overdiagnosis of open-angle glaucoma in the general population: the Thessaloniki Eye Study. Acta Ophthalmol. 2018 Nov;96(7):e859-e864. </w:t>
      </w:r>
    </w:p>
    <w:p w14:paraId="46772D8A"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 xml:space="preserve"> Landgren K, Peters D. A prospective study on effectiveness of elevated intraocular pressure as a criterion for glaucoma referrals by optometric practitioners in Sweden. Acta Ophthalmol. 2021 Nov;99(7):e1098-e1105.  </w:t>
      </w:r>
    </w:p>
    <w:p w14:paraId="651ADFC5"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 xml:space="preserve"> Peters D, Bengtsson B, Heijl A. Lifetime risk of blindness in open-angle glaucoma. Am J Ophthalmol. 2013;156(4):724-30.</w:t>
      </w:r>
    </w:p>
    <w:p w14:paraId="53078432" w14:textId="77777777" w:rsidR="004241C9" w:rsidRPr="00A036A9" w:rsidRDefault="004241C9" w:rsidP="004241C9">
      <w:pPr>
        <w:pStyle w:val="Liststycke"/>
        <w:numPr>
          <w:ilvl w:val="0"/>
          <w:numId w:val="15"/>
        </w:numPr>
        <w:spacing w:before="0" w:after="200" w:line="276" w:lineRule="auto"/>
        <w:ind w:left="284" w:hanging="284"/>
        <w:rPr>
          <w:rFonts w:eastAsiaTheme="minorEastAsia" w:cstheme="minorHAnsi"/>
          <w:iCs/>
          <w:kern w:val="24"/>
          <w:lang w:val="en-US"/>
        </w:rPr>
      </w:pPr>
      <w:r w:rsidRPr="00A036A9">
        <w:rPr>
          <w:rFonts w:eastAsiaTheme="minorEastAsia" w:cstheme="minorHAnsi"/>
          <w:iCs/>
          <w:kern w:val="24"/>
          <w:lang w:val="en-US"/>
        </w:rPr>
        <w:t xml:space="preserve"> Heijl A, Bengtsson B, Hyman L, Leske MC; Early Manifest Glaucoma Trial Group. </w:t>
      </w:r>
      <w:r w:rsidRPr="00A036A9">
        <w:rPr>
          <w:rFonts w:eastAsiaTheme="minorEastAsia" w:cstheme="minorHAnsi"/>
          <w:iCs/>
          <w:kern w:val="24"/>
        </w:rPr>
        <w:t>Natural history of open-angle glaucoma.</w:t>
      </w:r>
      <w:r w:rsidRPr="00A036A9">
        <w:rPr>
          <w:rFonts w:eastAsiaTheme="minorEastAsia" w:cstheme="minorHAnsi"/>
          <w:iCs/>
          <w:kern w:val="24"/>
          <w:lang w:val="en-US"/>
        </w:rPr>
        <w:t xml:space="preserve"> </w:t>
      </w:r>
      <w:r w:rsidRPr="00A036A9">
        <w:rPr>
          <w:rFonts w:eastAsiaTheme="minorEastAsia" w:cstheme="minorHAnsi"/>
          <w:iCs/>
          <w:kern w:val="24"/>
        </w:rPr>
        <w:t>Ophthalmology. 2009;116(12):2271-6. </w:t>
      </w:r>
    </w:p>
    <w:p w14:paraId="62676720" w14:textId="77777777" w:rsidR="004241C9" w:rsidRPr="001A4B94" w:rsidRDefault="004241C9" w:rsidP="004241C9">
      <w:pPr>
        <w:pStyle w:val="Liststycke"/>
        <w:numPr>
          <w:ilvl w:val="0"/>
          <w:numId w:val="15"/>
        </w:numPr>
        <w:spacing w:before="0" w:after="200" w:line="276" w:lineRule="auto"/>
        <w:ind w:left="284" w:hanging="284"/>
        <w:rPr>
          <w:rStyle w:val="Hyperlnk"/>
          <w:rFonts w:eastAsiaTheme="minorEastAsia" w:cstheme="minorHAnsi"/>
          <w:iCs/>
          <w:color w:val="0070C0"/>
          <w:kern w:val="24"/>
        </w:rPr>
      </w:pPr>
      <w:r w:rsidRPr="00A036A9">
        <w:rPr>
          <w:rFonts w:cstheme="minorHAnsi"/>
        </w:rPr>
        <w:t xml:space="preserve"> </w:t>
      </w:r>
      <w:hyperlink r:id="rId14" w:history="1">
        <w:r w:rsidRPr="001A4B94">
          <w:rPr>
            <w:rStyle w:val="Hyperlnk"/>
            <w:rFonts w:eastAsia="Times New Roman" w:cstheme="minorHAnsi"/>
            <w:color w:val="0070C0"/>
          </w:rPr>
          <w:t>Medicinska prioriteringslistan inom \366gonsjukv\345rd 2020, Godk\344nd av NPO 201013, 201019.xlsx) (swedeye.org)</w:t>
        </w:r>
      </w:hyperlink>
    </w:p>
    <w:p w14:paraId="390898CE" w14:textId="28B52E10" w:rsidR="004241C9" w:rsidRPr="00A036A9" w:rsidRDefault="004241C9" w:rsidP="005266BB">
      <w:pPr>
        <w:pStyle w:val="Liststycke"/>
        <w:numPr>
          <w:ilvl w:val="0"/>
          <w:numId w:val="15"/>
        </w:numPr>
        <w:spacing w:before="0" w:after="200" w:line="276" w:lineRule="auto"/>
        <w:ind w:left="284" w:hanging="284"/>
        <w:rPr>
          <w:rFonts w:cstheme="minorHAnsi"/>
        </w:rPr>
      </w:pPr>
      <w:r w:rsidRPr="00C85881">
        <w:rPr>
          <w:rFonts w:eastAsiaTheme="minorEastAsia" w:cstheme="minorHAnsi"/>
          <w:iCs/>
          <w:kern w:val="24"/>
        </w:rPr>
        <w:lastRenderedPageBreak/>
        <w:t xml:space="preserve"> </w:t>
      </w:r>
      <w:r w:rsidRPr="00C85881">
        <w:rPr>
          <w:rFonts w:eastAsiaTheme="minorEastAsia" w:cstheme="minorHAnsi"/>
          <w:iCs/>
          <w:kern w:val="24"/>
          <w:lang w:val="en-US"/>
        </w:rPr>
        <w:t>Tuulonen A, Kataja M, Aaltonen V, Kinnunen K, Moilanen J, Saarela V, Linna M, Malmivaara A, Uusitalo-Jarvinen H. A comprehensive model for measuring real-life cost-effectiveness in eyecare: automation in care and evaluation of system (aces-rwm). Acta Ophthalmol. 2021 Jul 14. doi: 10.1111/aos.14959. Online ahead of print.</w:t>
      </w:r>
    </w:p>
    <w:sectPr w:rsidR="004241C9" w:rsidRPr="00A036A9" w:rsidSect="0015161F">
      <w:headerReference w:type="default" r:id="rId15"/>
      <w:footerReference w:type="even" r:id="rId16"/>
      <w:footerReference w:type="default" r:id="rId17"/>
      <w:footerReference w:type="first" r:id="rId18"/>
      <w:pgSz w:w="11907" w:h="16839" w:code="9"/>
      <w:pgMar w:top="1417" w:right="1417" w:bottom="1417" w:left="1417" w:header="794" w:footer="1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FCFA3" w14:textId="77777777" w:rsidR="003B651D" w:rsidRDefault="003B651D" w:rsidP="005E0DE8">
      <w:pPr>
        <w:spacing w:after="0" w:line="240" w:lineRule="auto"/>
      </w:pPr>
      <w:r>
        <w:separator/>
      </w:r>
    </w:p>
  </w:endnote>
  <w:endnote w:type="continuationSeparator" w:id="0">
    <w:p w14:paraId="5593FA6E" w14:textId="77777777" w:rsidR="003B651D" w:rsidRDefault="003B651D" w:rsidP="005E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aramondPro-Regula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476920448"/>
      <w:docPartObj>
        <w:docPartGallery w:val="Page Numbers (Bottom of Page)"/>
        <w:docPartUnique/>
      </w:docPartObj>
    </w:sdtPr>
    <w:sdtContent>
      <w:p w14:paraId="7A969395" w14:textId="77777777" w:rsidR="00E01C95" w:rsidRDefault="00E01C95" w:rsidP="007B0FCA">
        <w:pPr>
          <w:pStyle w:val="Sidfot"/>
          <w:framePr w:wrap="none" w:vAnchor="text" w:hAnchor="margin"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7DA8B243" w14:textId="77777777" w:rsidR="00E01C95" w:rsidRDefault="00E01C95" w:rsidP="00E01C95">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659737772"/>
      <w:docPartObj>
        <w:docPartGallery w:val="Page Numbers (Bottom of Page)"/>
        <w:docPartUnique/>
      </w:docPartObj>
    </w:sdtPr>
    <w:sdtContent>
      <w:p w14:paraId="5FC616A8" w14:textId="373709D5" w:rsidR="00E01C95" w:rsidRDefault="00E01C95" w:rsidP="00E01C95">
        <w:pPr>
          <w:pStyle w:val="Sidfot"/>
          <w:framePr w:h="858" w:hRule="exact" w:wrap="none" w:vAnchor="text" w:hAnchor="margin" w:y="-657"/>
          <w:ind w:right="-532"/>
          <w:rPr>
            <w:rStyle w:val="Sidnummer"/>
          </w:rPr>
        </w:pPr>
        <w:r>
          <w:rPr>
            <w:rStyle w:val="Sidnummer"/>
          </w:rPr>
          <w:fldChar w:fldCharType="begin"/>
        </w:r>
        <w:r>
          <w:rPr>
            <w:rStyle w:val="Sidnummer"/>
          </w:rPr>
          <w:instrText xml:space="preserve"> PAGE </w:instrText>
        </w:r>
        <w:r>
          <w:rPr>
            <w:rStyle w:val="Sidnummer"/>
          </w:rPr>
          <w:fldChar w:fldCharType="separate"/>
        </w:r>
        <w:r w:rsidR="00C657F5">
          <w:rPr>
            <w:rStyle w:val="Sidnummer"/>
            <w:noProof/>
          </w:rPr>
          <w:t>10</w:t>
        </w:r>
        <w:r>
          <w:rPr>
            <w:rStyle w:val="Sidnummer"/>
          </w:rPr>
          <w:fldChar w:fldCharType="end"/>
        </w:r>
      </w:p>
    </w:sdtContent>
  </w:sdt>
  <w:p w14:paraId="4D601761" w14:textId="77777777" w:rsidR="00873DBC" w:rsidRDefault="001A4DFB" w:rsidP="00E01C95">
    <w:pPr>
      <w:pStyle w:val="Sidfot"/>
      <w:ind w:left="-1928" w:firstLine="360"/>
    </w:pPr>
    <w:r>
      <w:rPr>
        <w:rFonts w:ascii="Times New Roman" w:hAnsi="Times New Roman" w:cs="Times New Roman"/>
        <w:noProof/>
        <w:szCs w:val="24"/>
        <w:lang w:eastAsia="sv-SE"/>
      </w:rPr>
      <w:drawing>
        <wp:anchor distT="0" distB="0" distL="114300" distR="114300" simplePos="0" relativeHeight="251661312" behindDoc="0" locked="0" layoutInCell="1" allowOverlap="1" wp14:anchorId="4C10C959" wp14:editId="3B092F2D">
          <wp:simplePos x="0" y="0"/>
          <wp:positionH relativeFrom="page">
            <wp:posOffset>6055360</wp:posOffset>
          </wp:positionH>
          <wp:positionV relativeFrom="paragraph">
            <wp:posOffset>-647772</wp:posOffset>
          </wp:positionV>
          <wp:extent cx="1338572" cy="628385"/>
          <wp:effectExtent l="0" t="0" r="0" b="635"/>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38572" cy="628385"/>
                  </a:xfrm>
                  <a:prstGeom prst="rect">
                    <a:avLst/>
                  </a:prstGeom>
                  <a:solidFill>
                    <a:sysClr val="windowText" lastClr="000000"/>
                  </a:solid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22DF5" w14:textId="77777777" w:rsidR="00CB1297" w:rsidRDefault="001A4DFB" w:rsidP="00E01C95">
    <w:pPr>
      <w:pStyle w:val="Sidfot"/>
      <w:ind w:left="-1361"/>
    </w:pPr>
    <w:r>
      <w:rPr>
        <w:rFonts w:ascii="Times New Roman" w:hAnsi="Times New Roman" w:cs="Times New Roman"/>
        <w:noProof/>
        <w:szCs w:val="24"/>
        <w:lang w:eastAsia="sv-SE"/>
      </w:rPr>
      <w:drawing>
        <wp:anchor distT="0" distB="0" distL="114300" distR="114300" simplePos="0" relativeHeight="251659264" behindDoc="0" locked="0" layoutInCell="1" allowOverlap="1" wp14:anchorId="6A63B500" wp14:editId="0E23B12C">
          <wp:simplePos x="0" y="0"/>
          <wp:positionH relativeFrom="page">
            <wp:posOffset>6061268</wp:posOffset>
          </wp:positionH>
          <wp:positionV relativeFrom="paragraph">
            <wp:posOffset>-665544</wp:posOffset>
          </wp:positionV>
          <wp:extent cx="1338572" cy="628385"/>
          <wp:effectExtent l="0" t="0" r="0" b="635"/>
          <wp:wrapNone/>
          <wp:docPr id="6" name="Bildobjekt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38572" cy="628385"/>
                  </a:xfrm>
                  <a:prstGeom prst="rect">
                    <a:avLst/>
                  </a:prstGeom>
                  <a:solidFill>
                    <a:sysClr val="windowText" lastClr="000000"/>
                  </a:solid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5ECF8" w14:textId="77777777" w:rsidR="003B651D" w:rsidRDefault="003B651D" w:rsidP="005E0DE8">
      <w:pPr>
        <w:spacing w:after="0" w:line="240" w:lineRule="auto"/>
      </w:pPr>
      <w:r>
        <w:separator/>
      </w:r>
    </w:p>
  </w:footnote>
  <w:footnote w:type="continuationSeparator" w:id="0">
    <w:p w14:paraId="433F5D9B" w14:textId="77777777" w:rsidR="003B651D" w:rsidRDefault="003B651D" w:rsidP="005E0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404B" w14:textId="77777777" w:rsidR="000062C8" w:rsidRDefault="000062C8" w:rsidP="000062C8">
    <w:pPr>
      <w:pStyle w:val="Logopositionstext"/>
    </w:pPr>
  </w:p>
  <w:tbl>
    <w:tblPr>
      <w:tblStyle w:val="Tabellrutnt"/>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tblGrid>
    <w:tr w:rsidR="00873DBC" w14:paraId="2C07000D" w14:textId="77777777" w:rsidTr="007B4400">
      <w:trPr>
        <w:trHeight w:val="1077"/>
      </w:trPr>
      <w:tc>
        <w:tcPr>
          <w:tcW w:w="9923" w:type="dxa"/>
        </w:tcPr>
        <w:p w14:paraId="24004D32" w14:textId="77777777" w:rsidR="00873DBC" w:rsidRPr="000062C8" w:rsidRDefault="00873DBC" w:rsidP="00873DBC">
          <w:pPr>
            <w:pStyle w:val="Logopositionstext"/>
          </w:pPr>
        </w:p>
        <w:p w14:paraId="1ECFE64A" w14:textId="7D33D3C1" w:rsidR="003F111A" w:rsidRDefault="00C3507B" w:rsidP="008D6283">
          <w:pPr>
            <w:pStyle w:val="Sidhuvud"/>
            <w:tabs>
              <w:tab w:val="left" w:pos="7583"/>
            </w:tabs>
          </w:pPr>
          <w:r>
            <w:rPr>
              <w:rFonts w:cs="Arial"/>
              <w:szCs w:val="16"/>
            </w:rPr>
            <w:t>K</w:t>
          </w:r>
          <w:r w:rsidR="002C3C3F" w:rsidRPr="00737016">
            <w:rPr>
              <w:rFonts w:cs="Arial"/>
              <w:szCs w:val="16"/>
            </w:rPr>
            <w:t xml:space="preserve">ONSEKVENSBESKRIVNING </w:t>
          </w:r>
          <w:r>
            <w:rPr>
              <w:rFonts w:cs="Arial"/>
              <w:szCs w:val="16"/>
            </w:rPr>
            <w:t>AV RIKTLINJE</w:t>
          </w:r>
          <w:r w:rsidR="00AB3566">
            <w:rPr>
              <w:rFonts w:cs="Arial"/>
              <w:szCs w:val="16"/>
            </w:rPr>
            <w:t>R</w:t>
          </w:r>
          <w:r w:rsidR="00E25304">
            <w:rPr>
              <w:rFonts w:cs="Arial"/>
              <w:szCs w:val="16"/>
            </w:rPr>
            <w:t xml:space="preserve"> </w:t>
          </w:r>
          <w:r w:rsidR="002C3C3F" w:rsidRPr="00737016">
            <w:rPr>
              <w:rFonts w:cs="Arial"/>
              <w:szCs w:val="16"/>
            </w:rPr>
            <w:t xml:space="preserve">FÖR HANDLÄGGNING AV </w:t>
          </w:r>
          <w:r w:rsidR="005337E8">
            <w:rPr>
              <w:rFonts w:cs="Arial"/>
              <w:szCs w:val="16"/>
            </w:rPr>
            <w:t>ÖPPENVINKEL</w:t>
          </w:r>
          <w:r w:rsidR="002C3C3F">
            <w:rPr>
              <w:rFonts w:cs="Arial"/>
              <w:szCs w:val="16"/>
            </w:rPr>
            <w:t>GLAUKOM</w:t>
          </w:r>
          <w:r w:rsidR="005337E8">
            <w:rPr>
              <w:rFonts w:cs="Arial"/>
              <w:szCs w:val="16"/>
            </w:rPr>
            <w:t xml:space="preserve">               2022-09-20</w:t>
          </w:r>
          <w:r w:rsidR="002C3C3F">
            <w:rPr>
              <w:rFonts w:cs="Arial"/>
              <w:szCs w:val="16"/>
            </w:rPr>
            <w:br/>
          </w:r>
        </w:p>
        <w:p w14:paraId="6D1A7BA9" w14:textId="1126F69F" w:rsidR="00873DBC" w:rsidRPr="006E055A" w:rsidRDefault="00E01C95" w:rsidP="008D6283">
          <w:pPr>
            <w:pStyle w:val="Sidhuvud"/>
            <w:tabs>
              <w:tab w:val="left" w:pos="7583"/>
            </w:tabs>
            <w:rPr>
              <w:rFonts w:cs="Arial"/>
              <w:szCs w:val="16"/>
            </w:rPr>
          </w:pPr>
          <w:r>
            <w:ptab w:relativeTo="margin" w:alignment="right" w:leader="none"/>
          </w:r>
        </w:p>
      </w:tc>
    </w:tr>
  </w:tbl>
  <w:p w14:paraId="2399BDBA" w14:textId="77777777" w:rsidR="00CB1297" w:rsidRDefault="00CB1297" w:rsidP="00CB12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85538"/>
    <w:multiLevelType w:val="hybridMultilevel"/>
    <w:tmpl w:val="07C6B51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37636F0"/>
    <w:multiLevelType w:val="hybridMultilevel"/>
    <w:tmpl w:val="AE4621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D04EBE"/>
    <w:multiLevelType w:val="hybridMultilevel"/>
    <w:tmpl w:val="2FC4E5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0E47E78"/>
    <w:multiLevelType w:val="multilevel"/>
    <w:tmpl w:val="F318A7C2"/>
    <w:lvl w:ilvl="0">
      <w:start w:val="1"/>
      <w:numFmt w:val="decimal"/>
      <w:pStyle w:val="Rubrik1Numrerad"/>
      <w:lvlText w:val="%1."/>
      <w:lvlJc w:val="left"/>
      <w:pPr>
        <w:ind w:left="680" w:hanging="680"/>
      </w:pPr>
      <w:rPr>
        <w:rFonts w:hint="default"/>
      </w:rPr>
    </w:lvl>
    <w:lvl w:ilvl="1">
      <w:start w:val="1"/>
      <w:numFmt w:val="decimal"/>
      <w:pStyle w:val="Rubrik2Numrerad"/>
      <w:lvlText w:val="%1.%2."/>
      <w:lvlJc w:val="left"/>
      <w:pPr>
        <w:ind w:left="907" w:hanging="907"/>
      </w:pPr>
      <w:rPr>
        <w:rFonts w:hint="default"/>
      </w:rPr>
    </w:lvl>
    <w:lvl w:ilvl="2">
      <w:start w:val="1"/>
      <w:numFmt w:val="decimal"/>
      <w:pStyle w:val="Rubrik3Numrerad"/>
      <w:lvlText w:val="%1.%2.%3."/>
      <w:lvlJc w:val="left"/>
      <w:pPr>
        <w:ind w:left="1134" w:hanging="1134"/>
      </w:pPr>
      <w:rPr>
        <w:rFonts w:hint="default"/>
      </w:rPr>
    </w:lvl>
    <w:lvl w:ilvl="3">
      <w:start w:val="1"/>
      <w:numFmt w:val="decimal"/>
      <w:pStyle w:val="Rubrik4Numrerad"/>
      <w:lvlText w:val="%1.%2.%3.%4."/>
      <w:lvlJc w:val="left"/>
      <w:pPr>
        <w:ind w:left="1247" w:hanging="1247"/>
      </w:pPr>
      <w:rPr>
        <w:rFonts w:hint="default"/>
      </w:rPr>
    </w:lvl>
    <w:lvl w:ilvl="4">
      <w:start w:val="1"/>
      <w:numFmt w:val="decimal"/>
      <w:pStyle w:val="Rubrik5Numrerad"/>
      <w:lvlText w:val="%1.%2.%3.%4.%5."/>
      <w:lvlJc w:val="left"/>
      <w:pPr>
        <w:ind w:left="1361" w:hanging="1361"/>
      </w:pPr>
      <w:rPr>
        <w:rFonts w:hint="default"/>
      </w:rPr>
    </w:lvl>
    <w:lvl w:ilvl="5">
      <w:start w:val="1"/>
      <w:numFmt w:val="decimal"/>
      <w:pStyle w:val="Rubrik6Numrerad"/>
      <w:lvlText w:val="%1.%2.%3.%4.%5.%6."/>
      <w:lvlJc w:val="left"/>
      <w:pPr>
        <w:ind w:left="1474" w:hanging="147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2C80235"/>
    <w:multiLevelType w:val="hybridMultilevel"/>
    <w:tmpl w:val="C81C83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3E7663D"/>
    <w:multiLevelType w:val="hybridMultilevel"/>
    <w:tmpl w:val="06E869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FB43066"/>
    <w:multiLevelType w:val="hybridMultilevel"/>
    <w:tmpl w:val="E39A10C2"/>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430277B"/>
    <w:multiLevelType w:val="hybridMultilevel"/>
    <w:tmpl w:val="83D89F5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4FF2A73"/>
    <w:multiLevelType w:val="hybridMultilevel"/>
    <w:tmpl w:val="857A135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8AA66D4"/>
    <w:multiLevelType w:val="hybridMultilevel"/>
    <w:tmpl w:val="28E68A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9FB717E"/>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78184C"/>
    <w:multiLevelType w:val="hybridMultilevel"/>
    <w:tmpl w:val="B20293A4"/>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1484D11"/>
    <w:multiLevelType w:val="hybridMultilevel"/>
    <w:tmpl w:val="F3C6A604"/>
    <w:lvl w:ilvl="0" w:tplc="9E36FFEE">
      <w:start w:val="1"/>
      <w:numFmt w:val="bullet"/>
      <w:lvlText w:val=""/>
      <w:lvlJc w:val="left"/>
      <w:pPr>
        <w:ind w:left="757"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6DC86CD7"/>
    <w:multiLevelType w:val="hybridMultilevel"/>
    <w:tmpl w:val="5FB4FF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7A5C6099"/>
    <w:multiLevelType w:val="hybridMultilevel"/>
    <w:tmpl w:val="206AC7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06564933">
    <w:abstractNumId w:val="3"/>
  </w:num>
  <w:num w:numId="2" w16cid:durableId="1084062060">
    <w:abstractNumId w:val="9"/>
  </w:num>
  <w:num w:numId="3" w16cid:durableId="1345594193">
    <w:abstractNumId w:val="5"/>
  </w:num>
  <w:num w:numId="4" w16cid:durableId="676687483">
    <w:abstractNumId w:val="6"/>
  </w:num>
  <w:num w:numId="5" w16cid:durableId="1967278250">
    <w:abstractNumId w:val="14"/>
  </w:num>
  <w:num w:numId="6" w16cid:durableId="828984947">
    <w:abstractNumId w:val="4"/>
  </w:num>
  <w:num w:numId="7" w16cid:durableId="757336131">
    <w:abstractNumId w:val="11"/>
  </w:num>
  <w:num w:numId="8" w16cid:durableId="1556813397">
    <w:abstractNumId w:val="1"/>
  </w:num>
  <w:num w:numId="9" w16cid:durableId="1006400039">
    <w:abstractNumId w:val="7"/>
  </w:num>
  <w:num w:numId="10" w16cid:durableId="1639265567">
    <w:abstractNumId w:val="10"/>
  </w:num>
  <w:num w:numId="11" w16cid:durableId="1603993752">
    <w:abstractNumId w:val="0"/>
  </w:num>
  <w:num w:numId="12" w16cid:durableId="2145655200">
    <w:abstractNumId w:val="2"/>
  </w:num>
  <w:num w:numId="13" w16cid:durableId="983970232">
    <w:abstractNumId w:val="8"/>
  </w:num>
  <w:num w:numId="14" w16cid:durableId="1884444041">
    <w:abstractNumId w:val="12"/>
  </w:num>
  <w:num w:numId="15" w16cid:durableId="13366107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Department" w:val="Nationellt System för Kunskapsstyrning                                  Hälso- och sjukvård"/>
    <w:docVar w:name="LName" w:val="Sveriges Regioner i Samverkan"/>
  </w:docVars>
  <w:rsids>
    <w:rsidRoot w:val="00A1521C"/>
    <w:rsid w:val="000062C8"/>
    <w:rsid w:val="000213A6"/>
    <w:rsid w:val="00031263"/>
    <w:rsid w:val="00034767"/>
    <w:rsid w:val="000348ED"/>
    <w:rsid w:val="00057B2E"/>
    <w:rsid w:val="000677E1"/>
    <w:rsid w:val="00077D7E"/>
    <w:rsid w:val="00083D7B"/>
    <w:rsid w:val="0008762B"/>
    <w:rsid w:val="00094ACE"/>
    <w:rsid w:val="000A3498"/>
    <w:rsid w:val="000B2FE1"/>
    <w:rsid w:val="000D5F88"/>
    <w:rsid w:val="000E3633"/>
    <w:rsid w:val="000F16A8"/>
    <w:rsid w:val="00101F3A"/>
    <w:rsid w:val="00102608"/>
    <w:rsid w:val="00124A1F"/>
    <w:rsid w:val="001260B3"/>
    <w:rsid w:val="00131F2E"/>
    <w:rsid w:val="00132271"/>
    <w:rsid w:val="0014039B"/>
    <w:rsid w:val="0014264C"/>
    <w:rsid w:val="00143840"/>
    <w:rsid w:val="001445C5"/>
    <w:rsid w:val="00144EB6"/>
    <w:rsid w:val="00147832"/>
    <w:rsid w:val="00151440"/>
    <w:rsid w:val="0015161F"/>
    <w:rsid w:val="0017353E"/>
    <w:rsid w:val="0018285F"/>
    <w:rsid w:val="00187FAC"/>
    <w:rsid w:val="001A4B94"/>
    <w:rsid w:val="001A4DFB"/>
    <w:rsid w:val="001D089F"/>
    <w:rsid w:val="001D5AE7"/>
    <w:rsid w:val="001E6123"/>
    <w:rsid w:val="001E6C6A"/>
    <w:rsid w:val="001F5FDD"/>
    <w:rsid w:val="00201912"/>
    <w:rsid w:val="0020721D"/>
    <w:rsid w:val="00210FD3"/>
    <w:rsid w:val="00226FE9"/>
    <w:rsid w:val="002347AA"/>
    <w:rsid w:val="002368C8"/>
    <w:rsid w:val="002411D1"/>
    <w:rsid w:val="0024409C"/>
    <w:rsid w:val="0028440B"/>
    <w:rsid w:val="002844CB"/>
    <w:rsid w:val="0029050C"/>
    <w:rsid w:val="002920E1"/>
    <w:rsid w:val="002A7DB6"/>
    <w:rsid w:val="002B1068"/>
    <w:rsid w:val="002B338F"/>
    <w:rsid w:val="002C3C3F"/>
    <w:rsid w:val="002E6CFB"/>
    <w:rsid w:val="00320053"/>
    <w:rsid w:val="0032217F"/>
    <w:rsid w:val="0032636A"/>
    <w:rsid w:val="00330879"/>
    <w:rsid w:val="00335C49"/>
    <w:rsid w:val="003361B0"/>
    <w:rsid w:val="00367B7B"/>
    <w:rsid w:val="00371E99"/>
    <w:rsid w:val="0037334C"/>
    <w:rsid w:val="0038561B"/>
    <w:rsid w:val="0039124C"/>
    <w:rsid w:val="003A34B8"/>
    <w:rsid w:val="003B3D26"/>
    <w:rsid w:val="003B651D"/>
    <w:rsid w:val="003C037A"/>
    <w:rsid w:val="003C1D56"/>
    <w:rsid w:val="003C62E7"/>
    <w:rsid w:val="003C7E2B"/>
    <w:rsid w:val="003E33A0"/>
    <w:rsid w:val="003E69AE"/>
    <w:rsid w:val="003F111A"/>
    <w:rsid w:val="003F49C7"/>
    <w:rsid w:val="004052C9"/>
    <w:rsid w:val="004074B6"/>
    <w:rsid w:val="004169A4"/>
    <w:rsid w:val="004241C9"/>
    <w:rsid w:val="00430F69"/>
    <w:rsid w:val="004340E2"/>
    <w:rsid w:val="00434EB4"/>
    <w:rsid w:val="00435980"/>
    <w:rsid w:val="004456E4"/>
    <w:rsid w:val="00450B40"/>
    <w:rsid w:val="00467DE0"/>
    <w:rsid w:val="00467F34"/>
    <w:rsid w:val="004867ED"/>
    <w:rsid w:val="00486BAC"/>
    <w:rsid w:val="004A6D38"/>
    <w:rsid w:val="004B3D9A"/>
    <w:rsid w:val="004C4C75"/>
    <w:rsid w:val="004D01F7"/>
    <w:rsid w:val="004D62AE"/>
    <w:rsid w:val="004E7C78"/>
    <w:rsid w:val="004F18EA"/>
    <w:rsid w:val="00501270"/>
    <w:rsid w:val="005016C6"/>
    <w:rsid w:val="005071AB"/>
    <w:rsid w:val="005122E9"/>
    <w:rsid w:val="0052387C"/>
    <w:rsid w:val="005337E8"/>
    <w:rsid w:val="0054509F"/>
    <w:rsid w:val="00545432"/>
    <w:rsid w:val="00550A41"/>
    <w:rsid w:val="00550BE7"/>
    <w:rsid w:val="005627B7"/>
    <w:rsid w:val="00565F4D"/>
    <w:rsid w:val="00566B14"/>
    <w:rsid w:val="005852A6"/>
    <w:rsid w:val="00594BBC"/>
    <w:rsid w:val="005960B7"/>
    <w:rsid w:val="005A2EC9"/>
    <w:rsid w:val="005A461D"/>
    <w:rsid w:val="005A76D0"/>
    <w:rsid w:val="005B268F"/>
    <w:rsid w:val="005B59E5"/>
    <w:rsid w:val="005C51F2"/>
    <w:rsid w:val="005D546C"/>
    <w:rsid w:val="005E0DE8"/>
    <w:rsid w:val="005E5821"/>
    <w:rsid w:val="00615D1A"/>
    <w:rsid w:val="00631B6A"/>
    <w:rsid w:val="00633A9B"/>
    <w:rsid w:val="00636ACD"/>
    <w:rsid w:val="006374CE"/>
    <w:rsid w:val="00656689"/>
    <w:rsid w:val="00662202"/>
    <w:rsid w:val="00663FCA"/>
    <w:rsid w:val="006674E1"/>
    <w:rsid w:val="00690FDC"/>
    <w:rsid w:val="00692425"/>
    <w:rsid w:val="006977E5"/>
    <w:rsid w:val="006B26E2"/>
    <w:rsid w:val="006B4236"/>
    <w:rsid w:val="006B74C0"/>
    <w:rsid w:val="006C1BD3"/>
    <w:rsid w:val="006D5257"/>
    <w:rsid w:val="006E055A"/>
    <w:rsid w:val="006E5F3C"/>
    <w:rsid w:val="0070293C"/>
    <w:rsid w:val="0070365C"/>
    <w:rsid w:val="00717BBE"/>
    <w:rsid w:val="00727FB4"/>
    <w:rsid w:val="0074028E"/>
    <w:rsid w:val="00743BF7"/>
    <w:rsid w:val="00750F67"/>
    <w:rsid w:val="00760F83"/>
    <w:rsid w:val="00762F7C"/>
    <w:rsid w:val="00766854"/>
    <w:rsid w:val="0076734A"/>
    <w:rsid w:val="00790102"/>
    <w:rsid w:val="00793E22"/>
    <w:rsid w:val="007A26F3"/>
    <w:rsid w:val="007A2E1D"/>
    <w:rsid w:val="007A61BB"/>
    <w:rsid w:val="007A6FA8"/>
    <w:rsid w:val="007B4400"/>
    <w:rsid w:val="007C082E"/>
    <w:rsid w:val="007D1901"/>
    <w:rsid w:val="007E3AE7"/>
    <w:rsid w:val="007E6EAF"/>
    <w:rsid w:val="007F5DFA"/>
    <w:rsid w:val="00820357"/>
    <w:rsid w:val="00823ED5"/>
    <w:rsid w:val="008377EE"/>
    <w:rsid w:val="00855ECE"/>
    <w:rsid w:val="00856C44"/>
    <w:rsid w:val="00861575"/>
    <w:rsid w:val="00866402"/>
    <w:rsid w:val="00867002"/>
    <w:rsid w:val="00873DBC"/>
    <w:rsid w:val="0088050A"/>
    <w:rsid w:val="00882BD3"/>
    <w:rsid w:val="008A306C"/>
    <w:rsid w:val="008B14D0"/>
    <w:rsid w:val="008B63F9"/>
    <w:rsid w:val="008B65A9"/>
    <w:rsid w:val="008B66F8"/>
    <w:rsid w:val="008C7933"/>
    <w:rsid w:val="008C7EAD"/>
    <w:rsid w:val="008D6283"/>
    <w:rsid w:val="008D7D70"/>
    <w:rsid w:val="008E7080"/>
    <w:rsid w:val="00900365"/>
    <w:rsid w:val="00904131"/>
    <w:rsid w:val="00904334"/>
    <w:rsid w:val="00905F92"/>
    <w:rsid w:val="0090796A"/>
    <w:rsid w:val="00942FEF"/>
    <w:rsid w:val="00945430"/>
    <w:rsid w:val="009524AC"/>
    <w:rsid w:val="009540A2"/>
    <w:rsid w:val="00957357"/>
    <w:rsid w:val="00964FA0"/>
    <w:rsid w:val="00971C2C"/>
    <w:rsid w:val="009838E2"/>
    <w:rsid w:val="00990433"/>
    <w:rsid w:val="009909B2"/>
    <w:rsid w:val="009A07F3"/>
    <w:rsid w:val="009A1D73"/>
    <w:rsid w:val="009B2270"/>
    <w:rsid w:val="009B3432"/>
    <w:rsid w:val="009C085B"/>
    <w:rsid w:val="009C54B5"/>
    <w:rsid w:val="009D1780"/>
    <w:rsid w:val="009D72C1"/>
    <w:rsid w:val="009E2086"/>
    <w:rsid w:val="009E37DA"/>
    <w:rsid w:val="009F4057"/>
    <w:rsid w:val="009F5662"/>
    <w:rsid w:val="00A0161D"/>
    <w:rsid w:val="00A02DCD"/>
    <w:rsid w:val="00A036A9"/>
    <w:rsid w:val="00A10A29"/>
    <w:rsid w:val="00A1521C"/>
    <w:rsid w:val="00A20052"/>
    <w:rsid w:val="00A255EA"/>
    <w:rsid w:val="00A32934"/>
    <w:rsid w:val="00A47A94"/>
    <w:rsid w:val="00A50CF7"/>
    <w:rsid w:val="00A703D6"/>
    <w:rsid w:val="00A70CE5"/>
    <w:rsid w:val="00A963F7"/>
    <w:rsid w:val="00AB3566"/>
    <w:rsid w:val="00AB509C"/>
    <w:rsid w:val="00AC1F1B"/>
    <w:rsid w:val="00AC2B2C"/>
    <w:rsid w:val="00AC6419"/>
    <w:rsid w:val="00AD63C5"/>
    <w:rsid w:val="00AF184F"/>
    <w:rsid w:val="00B24997"/>
    <w:rsid w:val="00B34BCB"/>
    <w:rsid w:val="00B76E1C"/>
    <w:rsid w:val="00B81AEF"/>
    <w:rsid w:val="00B90EA4"/>
    <w:rsid w:val="00BA7257"/>
    <w:rsid w:val="00BB72BB"/>
    <w:rsid w:val="00BC27A6"/>
    <w:rsid w:val="00BC2EF5"/>
    <w:rsid w:val="00BC48C7"/>
    <w:rsid w:val="00BC6ADC"/>
    <w:rsid w:val="00BF71A3"/>
    <w:rsid w:val="00BF7C46"/>
    <w:rsid w:val="00C05AB1"/>
    <w:rsid w:val="00C069B8"/>
    <w:rsid w:val="00C11195"/>
    <w:rsid w:val="00C11C09"/>
    <w:rsid w:val="00C14688"/>
    <w:rsid w:val="00C2122B"/>
    <w:rsid w:val="00C22FF8"/>
    <w:rsid w:val="00C2720F"/>
    <w:rsid w:val="00C3507B"/>
    <w:rsid w:val="00C40C43"/>
    <w:rsid w:val="00C43865"/>
    <w:rsid w:val="00C4787D"/>
    <w:rsid w:val="00C57B12"/>
    <w:rsid w:val="00C657F5"/>
    <w:rsid w:val="00C660B3"/>
    <w:rsid w:val="00C83C88"/>
    <w:rsid w:val="00C85881"/>
    <w:rsid w:val="00C9285E"/>
    <w:rsid w:val="00CA06F2"/>
    <w:rsid w:val="00CA1773"/>
    <w:rsid w:val="00CA20F9"/>
    <w:rsid w:val="00CB1297"/>
    <w:rsid w:val="00CB4234"/>
    <w:rsid w:val="00CD2ECF"/>
    <w:rsid w:val="00CD3EB7"/>
    <w:rsid w:val="00CF287C"/>
    <w:rsid w:val="00D03490"/>
    <w:rsid w:val="00D13F54"/>
    <w:rsid w:val="00D45972"/>
    <w:rsid w:val="00D544B6"/>
    <w:rsid w:val="00D60932"/>
    <w:rsid w:val="00D827F3"/>
    <w:rsid w:val="00D936CC"/>
    <w:rsid w:val="00D97FCF"/>
    <w:rsid w:val="00DA0A26"/>
    <w:rsid w:val="00DA1BB9"/>
    <w:rsid w:val="00DB5DB1"/>
    <w:rsid w:val="00DD1B9E"/>
    <w:rsid w:val="00DD2507"/>
    <w:rsid w:val="00DD5311"/>
    <w:rsid w:val="00DE77C3"/>
    <w:rsid w:val="00DF2373"/>
    <w:rsid w:val="00DF4EDD"/>
    <w:rsid w:val="00E01C95"/>
    <w:rsid w:val="00E03608"/>
    <w:rsid w:val="00E0724E"/>
    <w:rsid w:val="00E25304"/>
    <w:rsid w:val="00E30A09"/>
    <w:rsid w:val="00E35B53"/>
    <w:rsid w:val="00E42320"/>
    <w:rsid w:val="00E44D61"/>
    <w:rsid w:val="00E45673"/>
    <w:rsid w:val="00E47C44"/>
    <w:rsid w:val="00E51B95"/>
    <w:rsid w:val="00E712D6"/>
    <w:rsid w:val="00E7218E"/>
    <w:rsid w:val="00E7256D"/>
    <w:rsid w:val="00E927E8"/>
    <w:rsid w:val="00E95A68"/>
    <w:rsid w:val="00EA681C"/>
    <w:rsid w:val="00EB0922"/>
    <w:rsid w:val="00EF00DE"/>
    <w:rsid w:val="00EF7511"/>
    <w:rsid w:val="00EF7E27"/>
    <w:rsid w:val="00F03566"/>
    <w:rsid w:val="00F05C7A"/>
    <w:rsid w:val="00F106BB"/>
    <w:rsid w:val="00F149A6"/>
    <w:rsid w:val="00F230BB"/>
    <w:rsid w:val="00F23CE1"/>
    <w:rsid w:val="00F25E3C"/>
    <w:rsid w:val="00F31689"/>
    <w:rsid w:val="00F33A41"/>
    <w:rsid w:val="00F35136"/>
    <w:rsid w:val="00F873AE"/>
    <w:rsid w:val="00F93F87"/>
    <w:rsid w:val="00FA22E2"/>
    <w:rsid w:val="00FA4DB0"/>
    <w:rsid w:val="00FB0083"/>
    <w:rsid w:val="00FB54AF"/>
    <w:rsid w:val="00FC14C1"/>
    <w:rsid w:val="00FD4219"/>
    <w:rsid w:val="00FD77D9"/>
    <w:rsid w:val="00FE7853"/>
    <w:rsid w:val="00FF2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B7B45"/>
  <w15:docId w15:val="{0BA25D62-AF8A-46FA-ADC5-B46A446C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qFormat="1"/>
    <w:lsdException w:name="heading 3" w:locked="0" w:uiPriority="9" w:qFormat="1"/>
    <w:lsdException w:name="heading 4" w:locked="0" w:uiPriority="9" w:qFormat="1"/>
    <w:lsdException w:name="heading 5" w:locked="0" w:semiHidden="1" w:uiPriority="9" w:qFormat="1"/>
    <w:lsdException w:name="heading 6" w:locked="0" w:semiHidden="1"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semiHidden="1"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545432"/>
    <w:pPr>
      <w:spacing w:before="120" w:after="120" w:line="260" w:lineRule="exact"/>
    </w:pPr>
    <w:rPr>
      <w:lang w:val="sv-SE"/>
    </w:rPr>
  </w:style>
  <w:style w:type="paragraph" w:styleId="Rubrik1">
    <w:name w:val="heading 1"/>
    <w:basedOn w:val="Normal"/>
    <w:next w:val="Normal"/>
    <w:link w:val="Rubrik1Char"/>
    <w:uiPriority w:val="1"/>
    <w:qFormat/>
    <w:rsid w:val="003C62E7"/>
    <w:pPr>
      <w:keepNext/>
      <w:keepLines/>
      <w:spacing w:before="200" w:line="400" w:lineRule="exact"/>
      <w:outlineLvl w:val="0"/>
    </w:pPr>
    <w:rPr>
      <w:rFonts w:asciiTheme="majorHAnsi" w:eastAsiaTheme="majorEastAsia" w:hAnsiTheme="majorHAnsi" w:cstheme="majorBidi"/>
      <w:b/>
      <w:bCs/>
      <w:sz w:val="40"/>
      <w:szCs w:val="28"/>
    </w:rPr>
  </w:style>
  <w:style w:type="paragraph" w:styleId="Rubrik2">
    <w:name w:val="heading 2"/>
    <w:basedOn w:val="Normal"/>
    <w:next w:val="Normal"/>
    <w:link w:val="Rubrik2Char"/>
    <w:uiPriority w:val="1"/>
    <w:qFormat/>
    <w:rsid w:val="003C62E7"/>
    <w:pPr>
      <w:keepNext/>
      <w:keepLines/>
      <w:spacing w:before="200" w:line="360" w:lineRule="exact"/>
      <w:outlineLvl w:val="1"/>
    </w:pPr>
    <w:rPr>
      <w:rFonts w:asciiTheme="majorHAnsi" w:eastAsiaTheme="majorEastAsia" w:hAnsiTheme="majorHAnsi" w:cstheme="majorBidi"/>
      <w:b/>
      <w:bCs/>
      <w:sz w:val="32"/>
      <w:szCs w:val="26"/>
    </w:rPr>
  </w:style>
  <w:style w:type="paragraph" w:styleId="Rubrik3">
    <w:name w:val="heading 3"/>
    <w:basedOn w:val="Normal"/>
    <w:next w:val="Normal"/>
    <w:link w:val="Rubrik3Char"/>
    <w:uiPriority w:val="1"/>
    <w:qFormat/>
    <w:rsid w:val="003C62E7"/>
    <w:pPr>
      <w:keepNext/>
      <w:keepLines/>
      <w:spacing w:before="160" w:after="80" w:line="320" w:lineRule="exact"/>
      <w:outlineLvl w:val="2"/>
    </w:pPr>
    <w:rPr>
      <w:rFonts w:asciiTheme="majorHAnsi" w:eastAsiaTheme="majorEastAsia" w:hAnsiTheme="majorHAnsi" w:cstheme="majorBidi"/>
      <w:bCs/>
      <w:sz w:val="28"/>
    </w:rPr>
  </w:style>
  <w:style w:type="paragraph" w:styleId="Rubrik4">
    <w:name w:val="heading 4"/>
    <w:basedOn w:val="Normal"/>
    <w:next w:val="Normal"/>
    <w:link w:val="Rubrik4Char"/>
    <w:uiPriority w:val="1"/>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paragraph" w:styleId="Rubrik5">
    <w:name w:val="heading 5"/>
    <w:basedOn w:val="Normal"/>
    <w:next w:val="Normal"/>
    <w:link w:val="Rubrik5Char"/>
    <w:uiPriority w:val="9"/>
    <w:semiHidden/>
    <w:qFormat/>
    <w:rsid w:val="003C62E7"/>
    <w:pPr>
      <w:keepNext/>
      <w:keepLines/>
      <w:spacing w:before="40" w:after="0"/>
      <w:outlineLvl w:val="4"/>
    </w:pPr>
    <w:rPr>
      <w:rFonts w:asciiTheme="majorHAnsi" w:eastAsiaTheme="majorEastAsia" w:hAnsiTheme="majorHAnsi" w:cstheme="majorBidi"/>
      <w:color w:val="295D5B" w:themeColor="accent1" w:themeShade="BF"/>
    </w:rPr>
  </w:style>
  <w:style w:type="paragraph" w:styleId="Rubrik6">
    <w:name w:val="heading 6"/>
    <w:basedOn w:val="Normal"/>
    <w:next w:val="Normal"/>
    <w:link w:val="Rubrik6Char"/>
    <w:uiPriority w:val="9"/>
    <w:semiHidden/>
    <w:qFormat/>
    <w:rsid w:val="003C62E7"/>
    <w:pPr>
      <w:keepNext/>
      <w:keepLines/>
      <w:spacing w:before="40" w:after="0"/>
      <w:outlineLvl w:val="5"/>
    </w:pPr>
    <w:rPr>
      <w:rFonts w:asciiTheme="majorHAnsi" w:eastAsiaTheme="majorEastAsia" w:hAnsiTheme="majorHAnsi" w:cstheme="majorBidi"/>
      <w:color w:val="1B3E3C"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1"/>
    <w:rsid w:val="000213A6"/>
    <w:rPr>
      <w:rFonts w:asciiTheme="majorHAnsi" w:eastAsiaTheme="majorEastAsia" w:hAnsiTheme="majorHAnsi" w:cstheme="majorBidi"/>
      <w:b/>
      <w:bCs/>
      <w:sz w:val="40"/>
      <w:szCs w:val="28"/>
      <w:lang w:val="sv-SE"/>
    </w:rPr>
  </w:style>
  <w:style w:type="character" w:customStyle="1" w:styleId="Rubrik2Char">
    <w:name w:val="Rubrik 2 Char"/>
    <w:basedOn w:val="Standardstycketeckensnitt"/>
    <w:link w:val="Rubrik2"/>
    <w:uiPriority w:val="1"/>
    <w:rsid w:val="000213A6"/>
    <w:rPr>
      <w:rFonts w:asciiTheme="majorHAnsi" w:eastAsiaTheme="majorEastAsia" w:hAnsiTheme="majorHAnsi" w:cstheme="majorBidi"/>
      <w:b/>
      <w:bCs/>
      <w:sz w:val="32"/>
      <w:szCs w:val="26"/>
      <w:lang w:val="sv-SE"/>
    </w:rPr>
  </w:style>
  <w:style w:type="character" w:customStyle="1" w:styleId="Rubrik3Char">
    <w:name w:val="Rubrik 3 Char"/>
    <w:basedOn w:val="Standardstycketeckensnitt"/>
    <w:link w:val="Rubrik3"/>
    <w:uiPriority w:val="9"/>
    <w:rsid w:val="000213A6"/>
    <w:rPr>
      <w:rFonts w:asciiTheme="majorHAnsi" w:eastAsiaTheme="majorEastAsia" w:hAnsiTheme="majorHAnsi" w:cstheme="majorBidi"/>
      <w:bCs/>
      <w:sz w:val="28"/>
      <w:lang w:val="sv-SE"/>
    </w:rPr>
  </w:style>
  <w:style w:type="character" w:customStyle="1" w:styleId="Rubrik4Char">
    <w:name w:val="Rubrik 4 Char"/>
    <w:basedOn w:val="Standardstycketeckensnitt"/>
    <w:link w:val="Rubrik4"/>
    <w:uiPriority w:val="1"/>
    <w:rsid w:val="000213A6"/>
    <w:rPr>
      <w:rFonts w:asciiTheme="majorHAnsi" w:eastAsiaTheme="majorEastAsia" w:hAnsiTheme="majorHAnsi" w:cstheme="majorBidi"/>
      <w:b/>
      <w:bCs/>
      <w:iCs/>
      <w:sz w:val="20"/>
      <w:lang w:val="sv-SE"/>
    </w:rPr>
  </w:style>
  <w:style w:type="paragraph" w:styleId="Ingetavstnd">
    <w:name w:val="No Spacing"/>
    <w:link w:val="IngetavstndChar"/>
    <w:uiPriority w:val="1"/>
    <w:semiHidden/>
    <w:rsid w:val="00CB4234"/>
    <w:pPr>
      <w:spacing w:after="0" w:line="240" w:lineRule="auto"/>
    </w:pPr>
    <w:rPr>
      <w:sz w:val="24"/>
    </w:rPr>
  </w:style>
  <w:style w:type="paragraph" w:styleId="Sidhuvud">
    <w:name w:val="header"/>
    <w:basedOn w:val="Normal"/>
    <w:link w:val="SidhuvudChar"/>
    <w:uiPriority w:val="99"/>
    <w:unhideWhenUsed/>
    <w:rsid w:val="005E0DE8"/>
    <w:pPr>
      <w:tabs>
        <w:tab w:val="center" w:pos="4680"/>
        <w:tab w:val="right" w:pos="9360"/>
      </w:tabs>
      <w:spacing w:after="0" w:line="240" w:lineRule="auto"/>
    </w:pPr>
    <w:rPr>
      <w:rFonts w:ascii="Arial" w:hAnsi="Arial"/>
      <w:sz w:val="16"/>
    </w:rPr>
  </w:style>
  <w:style w:type="character" w:customStyle="1" w:styleId="SidhuvudChar">
    <w:name w:val="Sidhuvud Char"/>
    <w:basedOn w:val="Standardstycketeckensnitt"/>
    <w:link w:val="Sidhuvud"/>
    <w:uiPriority w:val="99"/>
    <w:rsid w:val="005E0DE8"/>
    <w:rPr>
      <w:rFonts w:ascii="Arial" w:hAnsi="Arial"/>
      <w:sz w:val="16"/>
    </w:rPr>
  </w:style>
  <w:style w:type="paragraph" w:styleId="Sidfot">
    <w:name w:val="footer"/>
    <w:basedOn w:val="Normal"/>
    <w:link w:val="SidfotChar"/>
    <w:uiPriority w:val="99"/>
    <w:unhideWhenUsed/>
    <w:rsid w:val="005E0DE8"/>
    <w:pPr>
      <w:tabs>
        <w:tab w:val="center" w:pos="4680"/>
        <w:tab w:val="right" w:pos="9360"/>
      </w:tabs>
      <w:spacing w:after="0" w:line="240" w:lineRule="auto"/>
    </w:pPr>
    <w:rPr>
      <w:rFonts w:ascii="Arial" w:hAnsi="Arial"/>
      <w:sz w:val="16"/>
    </w:rPr>
  </w:style>
  <w:style w:type="character" w:customStyle="1" w:styleId="SidfotChar">
    <w:name w:val="Sidfot Char"/>
    <w:basedOn w:val="Standardstycketeckensnitt"/>
    <w:link w:val="Sidfot"/>
    <w:uiPriority w:val="99"/>
    <w:rsid w:val="005E0DE8"/>
    <w:rPr>
      <w:rFonts w:ascii="Arial" w:hAnsi="Arial"/>
      <w:sz w:val="16"/>
    </w:rPr>
  </w:style>
  <w:style w:type="table" w:styleId="Tabellrutnt">
    <w:name w:val="Table Grid"/>
    <w:basedOn w:val="Normaltabell"/>
    <w:uiPriority w:val="59"/>
    <w:locked/>
    <w:rsid w:val="005E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E0DE8"/>
    <w:rPr>
      <w:color w:val="808080"/>
    </w:rPr>
  </w:style>
  <w:style w:type="paragraph" w:styleId="Ballongtext">
    <w:name w:val="Balloon Text"/>
    <w:basedOn w:val="Normal"/>
    <w:link w:val="BallongtextChar"/>
    <w:uiPriority w:val="99"/>
    <w:semiHidden/>
    <w:unhideWhenUsed/>
    <w:rsid w:val="005E0DE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E0DE8"/>
    <w:rPr>
      <w:rFonts w:ascii="Tahoma" w:hAnsi="Tahoma" w:cs="Tahoma"/>
      <w:sz w:val="16"/>
      <w:szCs w:val="16"/>
      <w:lang w:val="sv-SE"/>
    </w:rPr>
  </w:style>
  <w:style w:type="paragraph" w:customStyle="1" w:styleId="AdressochSignatur">
    <w:name w:val="Adress och Signatur"/>
    <w:basedOn w:val="Normal"/>
    <w:uiPriority w:val="9"/>
    <w:unhideWhenUsed/>
    <w:locked/>
    <w:rsid w:val="008377EE"/>
    <w:pPr>
      <w:spacing w:after="0" w:line="240" w:lineRule="auto"/>
    </w:pPr>
    <w:rPr>
      <w:sz w:val="24"/>
    </w:rPr>
  </w:style>
  <w:style w:type="character" w:styleId="Hyperlnk">
    <w:name w:val="Hyperlink"/>
    <w:basedOn w:val="Standardstycketeckensnitt"/>
    <w:uiPriority w:val="99"/>
    <w:unhideWhenUsed/>
    <w:rsid w:val="00CB1297"/>
    <w:rPr>
      <w:color w:val="18A7B8" w:themeColor="hyperlink"/>
      <w:u w:val="single"/>
    </w:rPr>
  </w:style>
  <w:style w:type="paragraph" w:customStyle="1" w:styleId="Logopositionstext">
    <w:name w:val="Logopositionstext"/>
    <w:basedOn w:val="Normal"/>
    <w:uiPriority w:val="9"/>
    <w:semiHidden/>
    <w:unhideWhenUsed/>
    <w:locked/>
    <w:rsid w:val="000062C8"/>
    <w:pPr>
      <w:spacing w:after="0" w:line="240" w:lineRule="auto"/>
    </w:pPr>
    <w:rPr>
      <w:sz w:val="2"/>
      <w:szCs w:val="2"/>
    </w:rPr>
  </w:style>
  <w:style w:type="character" w:styleId="Betoning">
    <w:name w:val="Emphasis"/>
    <w:basedOn w:val="Standardstycketeckensnitt"/>
    <w:uiPriority w:val="20"/>
    <w:semiHidden/>
    <w:rsid w:val="004C4C75"/>
    <w:rPr>
      <w:i/>
      <w:iCs/>
    </w:rPr>
  </w:style>
  <w:style w:type="character" w:styleId="Starkbetoning">
    <w:name w:val="Intense Emphasis"/>
    <w:basedOn w:val="Standardstycketeckensnitt"/>
    <w:uiPriority w:val="21"/>
    <w:semiHidden/>
    <w:rsid w:val="004C4C75"/>
    <w:rPr>
      <w:i/>
      <w:iCs/>
      <w:color w:val="377D7A" w:themeColor="accent1"/>
    </w:rPr>
  </w:style>
  <w:style w:type="character" w:styleId="Stark">
    <w:name w:val="Strong"/>
    <w:basedOn w:val="Standardstycketeckensnitt"/>
    <w:uiPriority w:val="22"/>
    <w:semiHidden/>
    <w:rsid w:val="004C4C75"/>
    <w:rPr>
      <w:b/>
      <w:bCs/>
    </w:rPr>
  </w:style>
  <w:style w:type="paragraph" w:styleId="Citat">
    <w:name w:val="Quote"/>
    <w:basedOn w:val="Normal"/>
    <w:next w:val="Normal"/>
    <w:link w:val="CitatChar"/>
    <w:uiPriority w:val="29"/>
    <w:rsid w:val="004C4C75"/>
    <w:pPr>
      <w:spacing w:before="200" w:after="160" w:line="300" w:lineRule="atLeast"/>
      <w:ind w:left="864" w:right="864"/>
      <w:jc w:val="center"/>
    </w:pPr>
    <w:rPr>
      <w:i/>
      <w:iCs/>
      <w:color w:val="404040" w:themeColor="text1" w:themeTint="BF"/>
      <w:sz w:val="24"/>
    </w:rPr>
  </w:style>
  <w:style w:type="character" w:customStyle="1" w:styleId="CitatChar">
    <w:name w:val="Citat Char"/>
    <w:basedOn w:val="Standardstycketeckensnitt"/>
    <w:link w:val="Citat"/>
    <w:uiPriority w:val="29"/>
    <w:rsid w:val="004C4C75"/>
    <w:rPr>
      <w:i/>
      <w:iCs/>
      <w:color w:val="404040" w:themeColor="text1" w:themeTint="BF"/>
      <w:sz w:val="24"/>
      <w:lang w:val="sv-SE"/>
    </w:rPr>
  </w:style>
  <w:style w:type="paragraph" w:styleId="Starktcitat">
    <w:name w:val="Intense Quote"/>
    <w:basedOn w:val="Normal"/>
    <w:next w:val="Normal"/>
    <w:link w:val="StarktcitatChar"/>
    <w:uiPriority w:val="30"/>
    <w:rsid w:val="004C4C75"/>
    <w:pPr>
      <w:pBdr>
        <w:top w:val="single" w:sz="4" w:space="10" w:color="377D7A" w:themeColor="accent1"/>
        <w:bottom w:val="single" w:sz="4" w:space="10" w:color="377D7A" w:themeColor="accent1"/>
      </w:pBdr>
      <w:spacing w:before="360" w:after="360" w:line="300" w:lineRule="atLeast"/>
      <w:ind w:left="864" w:right="864"/>
      <w:jc w:val="center"/>
    </w:pPr>
    <w:rPr>
      <w:i/>
      <w:iCs/>
      <w:color w:val="377D7A" w:themeColor="accent1"/>
      <w:sz w:val="24"/>
    </w:rPr>
  </w:style>
  <w:style w:type="character" w:customStyle="1" w:styleId="StarktcitatChar">
    <w:name w:val="Starkt citat Char"/>
    <w:basedOn w:val="Standardstycketeckensnitt"/>
    <w:link w:val="Starktcitat"/>
    <w:uiPriority w:val="30"/>
    <w:rsid w:val="004C4C75"/>
    <w:rPr>
      <w:i/>
      <w:iCs/>
      <w:color w:val="377D7A" w:themeColor="accent1"/>
      <w:sz w:val="24"/>
      <w:lang w:val="sv-SE"/>
    </w:rPr>
  </w:style>
  <w:style w:type="character" w:styleId="Diskretbetoning">
    <w:name w:val="Subtle Emphasis"/>
    <w:basedOn w:val="Standardstycketeckensnitt"/>
    <w:uiPriority w:val="19"/>
    <w:semiHidden/>
    <w:rsid w:val="004C4C75"/>
    <w:rPr>
      <w:i/>
      <w:iCs/>
      <w:color w:val="404040" w:themeColor="text1" w:themeTint="BF"/>
    </w:rPr>
  </w:style>
  <w:style w:type="character" w:styleId="Diskretreferens">
    <w:name w:val="Subtle Reference"/>
    <w:basedOn w:val="Standardstycketeckensnitt"/>
    <w:uiPriority w:val="31"/>
    <w:semiHidden/>
    <w:rsid w:val="004C4C75"/>
    <w:rPr>
      <w:smallCaps/>
      <w:color w:val="5A5A5A" w:themeColor="text1" w:themeTint="A5"/>
    </w:rPr>
  </w:style>
  <w:style w:type="character" w:styleId="Bokenstitel">
    <w:name w:val="Book Title"/>
    <w:basedOn w:val="Standardstycketeckensnitt"/>
    <w:uiPriority w:val="33"/>
    <w:semiHidden/>
    <w:rsid w:val="004C4C75"/>
    <w:rPr>
      <w:b/>
      <w:bCs/>
      <w:i/>
      <w:iCs/>
      <w:spacing w:val="5"/>
    </w:rPr>
  </w:style>
  <w:style w:type="paragraph" w:styleId="Liststycke">
    <w:name w:val="List Paragraph"/>
    <w:basedOn w:val="Normal"/>
    <w:uiPriority w:val="34"/>
    <w:qFormat/>
    <w:rsid w:val="00EA681C"/>
    <w:pPr>
      <w:spacing w:after="240" w:line="240" w:lineRule="auto"/>
      <w:ind w:left="720"/>
      <w:contextualSpacing/>
    </w:pPr>
  </w:style>
  <w:style w:type="paragraph" w:styleId="Rubrik">
    <w:name w:val="Title"/>
    <w:basedOn w:val="Normal"/>
    <w:next w:val="Normal"/>
    <w:link w:val="RubrikChar"/>
    <w:uiPriority w:val="10"/>
    <w:rsid w:val="006B4236"/>
    <w:pPr>
      <w:spacing w:after="0" w:line="240" w:lineRule="auto"/>
      <w:contextualSpacing/>
    </w:pPr>
    <w:rPr>
      <w:rFonts w:asciiTheme="majorHAnsi" w:eastAsiaTheme="majorEastAsia" w:hAnsiTheme="majorHAnsi" w:cstheme="majorBidi"/>
      <w:b/>
      <w:kern w:val="28"/>
      <w:sz w:val="48"/>
      <w:szCs w:val="56"/>
    </w:rPr>
  </w:style>
  <w:style w:type="character" w:customStyle="1" w:styleId="RubrikChar">
    <w:name w:val="Rubrik Char"/>
    <w:basedOn w:val="Standardstycketeckensnitt"/>
    <w:link w:val="Rubrik"/>
    <w:uiPriority w:val="10"/>
    <w:rsid w:val="006B4236"/>
    <w:rPr>
      <w:rFonts w:asciiTheme="majorHAnsi" w:eastAsiaTheme="majorEastAsia" w:hAnsiTheme="majorHAnsi" w:cstheme="majorBidi"/>
      <w:b/>
      <w:kern w:val="28"/>
      <w:sz w:val="48"/>
      <w:szCs w:val="56"/>
      <w:lang w:val="sv-SE"/>
    </w:rPr>
  </w:style>
  <w:style w:type="character" w:styleId="Starkreferens">
    <w:name w:val="Intense Reference"/>
    <w:basedOn w:val="Standardstycketeckensnitt"/>
    <w:uiPriority w:val="32"/>
    <w:semiHidden/>
    <w:rsid w:val="004C4C75"/>
    <w:rPr>
      <w:b/>
      <w:bCs/>
      <w:smallCaps/>
      <w:color w:val="377D7A" w:themeColor="accent1"/>
      <w:spacing w:val="5"/>
    </w:rPr>
  </w:style>
  <w:style w:type="character" w:customStyle="1" w:styleId="IngetavstndChar">
    <w:name w:val="Inget avstånd Char"/>
    <w:basedOn w:val="Standardstycketeckensnitt"/>
    <w:link w:val="Ingetavstnd"/>
    <w:uiPriority w:val="1"/>
    <w:semiHidden/>
    <w:rsid w:val="000213A6"/>
    <w:rPr>
      <w:sz w:val="24"/>
    </w:rPr>
  </w:style>
  <w:style w:type="paragraph" w:styleId="Innehllsfrteckningsrubrik">
    <w:name w:val="TOC Heading"/>
    <w:basedOn w:val="Rubrik1"/>
    <w:next w:val="Normal"/>
    <w:uiPriority w:val="39"/>
    <w:unhideWhenUsed/>
    <w:qFormat/>
    <w:rsid w:val="00E01C95"/>
    <w:pPr>
      <w:spacing w:before="240" w:after="0" w:line="259" w:lineRule="auto"/>
      <w:outlineLvl w:val="9"/>
    </w:pPr>
    <w:rPr>
      <w:b w:val="0"/>
      <w:bCs w:val="0"/>
      <w:color w:val="295D5B" w:themeColor="accent1" w:themeShade="BF"/>
      <w:szCs w:val="32"/>
      <w:lang w:eastAsia="sv-SE"/>
    </w:rPr>
  </w:style>
  <w:style w:type="paragraph" w:styleId="Innehll2">
    <w:name w:val="toc 2"/>
    <w:basedOn w:val="Normal"/>
    <w:next w:val="Normal"/>
    <w:autoRedefine/>
    <w:uiPriority w:val="39"/>
    <w:unhideWhenUsed/>
    <w:rsid w:val="00E01C95"/>
    <w:pPr>
      <w:spacing w:after="100"/>
      <w:ind w:left="220"/>
    </w:pPr>
  </w:style>
  <w:style w:type="paragraph" w:styleId="Innehll3">
    <w:name w:val="toc 3"/>
    <w:basedOn w:val="Normal"/>
    <w:next w:val="Normal"/>
    <w:autoRedefine/>
    <w:uiPriority w:val="39"/>
    <w:unhideWhenUsed/>
    <w:rsid w:val="00E01C95"/>
    <w:pPr>
      <w:spacing w:after="100"/>
      <w:ind w:left="440"/>
    </w:pPr>
  </w:style>
  <w:style w:type="character" w:styleId="Sidnummer">
    <w:name w:val="page number"/>
    <w:basedOn w:val="Standardstycketeckensnitt"/>
    <w:uiPriority w:val="99"/>
    <w:semiHidden/>
    <w:unhideWhenUsed/>
    <w:rsid w:val="00E01C95"/>
  </w:style>
  <w:style w:type="paragraph" w:customStyle="1" w:styleId="Rubrik1Numrerad">
    <w:name w:val="Rubrik 1 Numrerad"/>
    <w:basedOn w:val="Rubrik1"/>
    <w:next w:val="Normal"/>
    <w:uiPriority w:val="2"/>
    <w:qFormat/>
    <w:locked/>
    <w:rsid w:val="003C62E7"/>
    <w:pPr>
      <w:numPr>
        <w:numId w:val="1"/>
      </w:numPr>
      <w:spacing w:before="480" w:line="240" w:lineRule="auto"/>
    </w:pPr>
    <w:rPr>
      <w:bCs w:val="0"/>
      <w:color w:val="000000" w:themeColor="text1"/>
      <w:szCs w:val="32"/>
    </w:rPr>
  </w:style>
  <w:style w:type="paragraph" w:customStyle="1" w:styleId="Rubrik2Numrerad">
    <w:name w:val="Rubrik 2 Numrerad"/>
    <w:basedOn w:val="Rubrik2"/>
    <w:next w:val="Normal"/>
    <w:uiPriority w:val="2"/>
    <w:qFormat/>
    <w:locked/>
    <w:rsid w:val="003C62E7"/>
    <w:pPr>
      <w:numPr>
        <w:ilvl w:val="1"/>
        <w:numId w:val="1"/>
      </w:numPr>
      <w:spacing w:before="120" w:after="60" w:line="240" w:lineRule="auto"/>
    </w:pPr>
    <w:rPr>
      <w:bCs w:val="0"/>
      <w:color w:val="000000" w:themeColor="text1"/>
      <w:lang w:val="en-GB"/>
    </w:rPr>
  </w:style>
  <w:style w:type="paragraph" w:customStyle="1" w:styleId="Rubrik3Numrerad">
    <w:name w:val="Rubrik 3 Numrerad"/>
    <w:basedOn w:val="Rubrik3"/>
    <w:next w:val="Normal"/>
    <w:uiPriority w:val="2"/>
    <w:qFormat/>
    <w:locked/>
    <w:rsid w:val="006B4236"/>
    <w:pPr>
      <w:numPr>
        <w:ilvl w:val="2"/>
        <w:numId w:val="1"/>
      </w:numPr>
      <w:spacing w:before="60" w:after="20" w:line="240" w:lineRule="auto"/>
    </w:pPr>
    <w:rPr>
      <w:bCs w:val="0"/>
      <w:color w:val="000000" w:themeColor="text1"/>
      <w:szCs w:val="24"/>
      <w:lang w:val="en-GB"/>
    </w:rPr>
  </w:style>
  <w:style w:type="paragraph" w:customStyle="1" w:styleId="Rubrik4Numrerad">
    <w:name w:val="Rubrik 4 Numrerad"/>
    <w:basedOn w:val="Rubrik4"/>
    <w:next w:val="Normal"/>
    <w:uiPriority w:val="2"/>
    <w:qFormat/>
    <w:locked/>
    <w:rsid w:val="003C62E7"/>
    <w:pPr>
      <w:numPr>
        <w:ilvl w:val="3"/>
        <w:numId w:val="1"/>
      </w:numPr>
      <w:spacing w:before="40" w:after="0" w:line="240" w:lineRule="auto"/>
    </w:pPr>
    <w:rPr>
      <w:bCs w:val="0"/>
      <w:color w:val="000000" w:themeColor="text1"/>
      <w:lang w:val="en-GB"/>
    </w:rPr>
  </w:style>
  <w:style w:type="paragraph" w:customStyle="1" w:styleId="Rubrik5Numrerad">
    <w:name w:val="Rubrik 5 Numrerad"/>
    <w:basedOn w:val="Rubrik5"/>
    <w:uiPriority w:val="2"/>
    <w:semiHidden/>
    <w:locked/>
    <w:rsid w:val="003C62E7"/>
    <w:pPr>
      <w:numPr>
        <w:ilvl w:val="4"/>
        <w:numId w:val="1"/>
      </w:numPr>
      <w:tabs>
        <w:tab w:val="num" w:pos="360"/>
      </w:tabs>
      <w:spacing w:line="240" w:lineRule="auto"/>
      <w:ind w:left="0" w:firstLine="0"/>
    </w:pPr>
    <w:rPr>
      <w:i/>
      <w:color w:val="000000" w:themeColor="text1"/>
      <w:sz w:val="20"/>
      <w:lang w:val="en-GB"/>
    </w:rPr>
  </w:style>
  <w:style w:type="paragraph" w:customStyle="1" w:styleId="Rubrik6Numrerad">
    <w:name w:val="Rubrik 6 Numrerad"/>
    <w:basedOn w:val="Rubrik6"/>
    <w:uiPriority w:val="2"/>
    <w:semiHidden/>
    <w:locked/>
    <w:rsid w:val="003C62E7"/>
    <w:pPr>
      <w:numPr>
        <w:ilvl w:val="5"/>
        <w:numId w:val="1"/>
      </w:numPr>
      <w:tabs>
        <w:tab w:val="num" w:pos="360"/>
      </w:tabs>
      <w:spacing w:line="240" w:lineRule="auto"/>
      <w:ind w:left="0" w:firstLine="0"/>
    </w:pPr>
    <w:rPr>
      <w:rFonts w:asciiTheme="minorHAnsi" w:hAnsiTheme="minorHAnsi"/>
      <w:b/>
      <w:color w:val="000000" w:themeColor="text1"/>
    </w:rPr>
  </w:style>
  <w:style w:type="character" w:customStyle="1" w:styleId="Rubrik5Char">
    <w:name w:val="Rubrik 5 Char"/>
    <w:basedOn w:val="Standardstycketeckensnitt"/>
    <w:link w:val="Rubrik5"/>
    <w:uiPriority w:val="9"/>
    <w:semiHidden/>
    <w:rsid w:val="003C62E7"/>
    <w:rPr>
      <w:rFonts w:asciiTheme="majorHAnsi" w:eastAsiaTheme="majorEastAsia" w:hAnsiTheme="majorHAnsi" w:cstheme="majorBidi"/>
      <w:color w:val="295D5B" w:themeColor="accent1" w:themeShade="BF"/>
      <w:lang w:val="sv-SE"/>
    </w:rPr>
  </w:style>
  <w:style w:type="character" w:customStyle="1" w:styleId="Rubrik6Char">
    <w:name w:val="Rubrik 6 Char"/>
    <w:basedOn w:val="Standardstycketeckensnitt"/>
    <w:link w:val="Rubrik6"/>
    <w:uiPriority w:val="9"/>
    <w:semiHidden/>
    <w:rsid w:val="003C62E7"/>
    <w:rPr>
      <w:rFonts w:asciiTheme="majorHAnsi" w:eastAsiaTheme="majorEastAsia" w:hAnsiTheme="majorHAnsi" w:cstheme="majorBidi"/>
      <w:color w:val="1B3E3C" w:themeColor="accent1" w:themeShade="7F"/>
      <w:lang w:val="sv-SE"/>
    </w:rPr>
  </w:style>
  <w:style w:type="paragraph" w:customStyle="1" w:styleId="Titel">
    <w:name w:val="Titel"/>
    <w:next w:val="Normal"/>
    <w:uiPriority w:val="9"/>
    <w:qFormat/>
    <w:locked/>
    <w:rsid w:val="006B4236"/>
    <w:pPr>
      <w:spacing w:before="40" w:after="560" w:line="216" w:lineRule="auto"/>
    </w:pPr>
    <w:rPr>
      <w:color w:val="377D7A"/>
      <w:sz w:val="72"/>
      <w:szCs w:val="72"/>
      <w:lang w:val="sv-SE"/>
    </w:rPr>
  </w:style>
  <w:style w:type="paragraph" w:customStyle="1" w:styleId="Undertitel">
    <w:name w:val="Undertitel"/>
    <w:next w:val="Normal"/>
    <w:uiPriority w:val="9"/>
    <w:qFormat/>
    <w:locked/>
    <w:rsid w:val="006B4236"/>
    <w:pPr>
      <w:spacing w:before="40" w:after="40"/>
    </w:pPr>
    <w:rPr>
      <w:color w:val="000000" w:themeColor="text1"/>
      <w:sz w:val="28"/>
      <w:szCs w:val="28"/>
      <w:lang w:val="sv-SE"/>
    </w:rPr>
  </w:style>
  <w:style w:type="paragraph" w:customStyle="1" w:styleId="Frfattare">
    <w:name w:val="Författare"/>
    <w:next w:val="Normal"/>
    <w:uiPriority w:val="9"/>
    <w:unhideWhenUsed/>
    <w:qFormat/>
    <w:locked/>
    <w:rsid w:val="006B4236"/>
    <w:pPr>
      <w:spacing w:before="80" w:after="40"/>
    </w:pPr>
    <w:rPr>
      <w:color w:val="000000" w:themeColor="text1"/>
      <w:sz w:val="24"/>
      <w:szCs w:val="24"/>
      <w:lang w:val="sv-SE"/>
    </w:rPr>
  </w:style>
  <w:style w:type="paragraph" w:customStyle="1" w:styleId="Default">
    <w:name w:val="Default"/>
    <w:locked/>
    <w:rsid w:val="00BC6ADC"/>
    <w:pPr>
      <w:autoSpaceDE w:val="0"/>
      <w:autoSpaceDN w:val="0"/>
      <w:adjustRightInd w:val="0"/>
      <w:spacing w:after="0" w:line="240" w:lineRule="auto"/>
    </w:pPr>
    <w:rPr>
      <w:rFonts w:ascii="Times New Roman" w:hAnsi="Times New Roman" w:cs="Times New Roman"/>
      <w:color w:val="000000"/>
      <w:sz w:val="24"/>
      <w:szCs w:val="24"/>
      <w:lang w:val="sv-SE"/>
    </w:rPr>
  </w:style>
  <w:style w:type="table" w:styleId="Rutntstabell1ljus">
    <w:name w:val="Grid Table 1 Light"/>
    <w:basedOn w:val="Normaltabell"/>
    <w:uiPriority w:val="46"/>
    <w:locked/>
    <w:rsid w:val="00BC6ADC"/>
    <w:pPr>
      <w:spacing w:after="0" w:line="240" w:lineRule="auto"/>
    </w:pPr>
    <w:rPr>
      <w:lang w:val="sv-S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Innehll1">
    <w:name w:val="toc 1"/>
    <w:basedOn w:val="Normal"/>
    <w:next w:val="Normal"/>
    <w:autoRedefine/>
    <w:uiPriority w:val="39"/>
    <w:unhideWhenUsed/>
    <w:rsid w:val="00371E99"/>
    <w:pPr>
      <w:spacing w:after="100"/>
    </w:pPr>
  </w:style>
  <w:style w:type="character" w:styleId="Kommentarsreferens">
    <w:name w:val="annotation reference"/>
    <w:basedOn w:val="Standardstycketeckensnitt"/>
    <w:uiPriority w:val="99"/>
    <w:semiHidden/>
    <w:unhideWhenUsed/>
    <w:rsid w:val="00856C44"/>
    <w:rPr>
      <w:sz w:val="16"/>
      <w:szCs w:val="16"/>
    </w:rPr>
  </w:style>
  <w:style w:type="paragraph" w:styleId="Kommentarer">
    <w:name w:val="annotation text"/>
    <w:basedOn w:val="Normal"/>
    <w:link w:val="KommentarerChar"/>
    <w:uiPriority w:val="99"/>
    <w:semiHidden/>
    <w:unhideWhenUsed/>
    <w:rsid w:val="00856C44"/>
    <w:pPr>
      <w:spacing w:line="240" w:lineRule="auto"/>
    </w:pPr>
    <w:rPr>
      <w:sz w:val="20"/>
      <w:szCs w:val="20"/>
    </w:rPr>
  </w:style>
  <w:style w:type="character" w:customStyle="1" w:styleId="KommentarerChar">
    <w:name w:val="Kommentarer Char"/>
    <w:basedOn w:val="Standardstycketeckensnitt"/>
    <w:link w:val="Kommentarer"/>
    <w:uiPriority w:val="99"/>
    <w:semiHidden/>
    <w:rsid w:val="00856C44"/>
    <w:rPr>
      <w:sz w:val="20"/>
      <w:szCs w:val="20"/>
      <w:lang w:val="sv-SE"/>
    </w:rPr>
  </w:style>
  <w:style w:type="paragraph" w:styleId="Kommentarsmne">
    <w:name w:val="annotation subject"/>
    <w:basedOn w:val="Kommentarer"/>
    <w:next w:val="Kommentarer"/>
    <w:link w:val="KommentarsmneChar"/>
    <w:uiPriority w:val="99"/>
    <w:semiHidden/>
    <w:unhideWhenUsed/>
    <w:rsid w:val="00856C44"/>
    <w:rPr>
      <w:b/>
      <w:bCs/>
    </w:rPr>
  </w:style>
  <w:style w:type="character" w:customStyle="1" w:styleId="KommentarsmneChar">
    <w:name w:val="Kommentarsämne Char"/>
    <w:basedOn w:val="KommentarerChar"/>
    <w:link w:val="Kommentarsmne"/>
    <w:uiPriority w:val="99"/>
    <w:semiHidden/>
    <w:rsid w:val="00856C44"/>
    <w:rPr>
      <w:b/>
      <w:bCs/>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cialstyrelsen.se/statistik-och-data/statistik/statistikdatabasen/"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tatistikdatabasen.scb.s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coph.org/resources/329/Finnish-Guideline-for-Glaucoma-Care.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wedeye.org/wp-content/uploads/2020/10/Medicinska-prioriteringslistan-inom-ogonsjukvard-2020-Godkand-av-NPO-201013-justerad-201023.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ree\Desktop\CARRO%20JOBB\skr\Ny%20mapp\mallar\Konsekvensbeskrivning%20f&#246;r%20kunskapsst&#246;dXXX.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11B18F87984D4EAD558EE7BA1AC108"/>
        <w:category>
          <w:name w:val="Allmänt"/>
          <w:gallery w:val="placeholder"/>
        </w:category>
        <w:types>
          <w:type w:val="bbPlcHdr"/>
        </w:types>
        <w:behaviors>
          <w:behavior w:val="content"/>
        </w:behaviors>
        <w:guid w:val="{FD3064B1-D4BE-4E14-8A00-079EACB33384}"/>
      </w:docPartPr>
      <w:docPartBody>
        <w:p w:rsidR="00C157C9" w:rsidRDefault="00581C04">
          <w:pPr>
            <w:pStyle w:val="4F11B18F87984D4EAD558EE7BA1AC108"/>
          </w:pPr>
          <w:r w:rsidRPr="00DC3731">
            <w:rPr>
              <w:rStyle w:val="Platshllartext"/>
            </w:rPr>
            <w:t>[Titel]</w:t>
          </w:r>
        </w:p>
      </w:docPartBody>
    </w:docPart>
    <w:docPart>
      <w:docPartPr>
        <w:name w:val="9AC81BFE38314618921F40B106EC938C"/>
        <w:category>
          <w:name w:val="Allmänt"/>
          <w:gallery w:val="placeholder"/>
        </w:category>
        <w:types>
          <w:type w:val="bbPlcHdr"/>
        </w:types>
        <w:behaviors>
          <w:behavior w:val="content"/>
        </w:behaviors>
        <w:guid w:val="{4358E31D-871D-401B-A468-C75C95DC3E73}"/>
      </w:docPartPr>
      <w:docPartBody>
        <w:p w:rsidR="00C157C9" w:rsidRDefault="00581C04">
          <w:pPr>
            <w:pStyle w:val="9AC81BFE38314618921F40B106EC938C"/>
          </w:pPr>
          <w:r w:rsidRPr="00806C11">
            <w:rPr>
              <w:rStyle w:val="Platshllartext"/>
            </w:rPr>
            <w:t>Klicka eller tryck här för att ange text.</w:t>
          </w:r>
        </w:p>
      </w:docPartBody>
    </w:docPart>
    <w:docPart>
      <w:docPartPr>
        <w:name w:val="3BD953885A004A60A71AB06BAFC3918E"/>
        <w:category>
          <w:name w:val="Allmänt"/>
          <w:gallery w:val="placeholder"/>
        </w:category>
        <w:types>
          <w:type w:val="bbPlcHdr"/>
        </w:types>
        <w:behaviors>
          <w:behavior w:val="content"/>
        </w:behaviors>
        <w:guid w:val="{D8E03E1A-C5A7-4FD8-80C7-3CF0A61F6DC5}"/>
      </w:docPartPr>
      <w:docPartBody>
        <w:p w:rsidR="00C157C9" w:rsidRDefault="00581C04">
          <w:pPr>
            <w:pStyle w:val="3BD953885A004A60A71AB06BAFC3918E"/>
          </w:pPr>
          <w:r w:rsidRPr="00806C11">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aramondPro-Regular">
    <w:altName w:val="Yu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C04"/>
    <w:rsid w:val="0019449F"/>
    <w:rsid w:val="00297C25"/>
    <w:rsid w:val="00416E84"/>
    <w:rsid w:val="005241CC"/>
    <w:rsid w:val="00581C04"/>
    <w:rsid w:val="00760493"/>
    <w:rsid w:val="009A2BA1"/>
    <w:rsid w:val="00AC2FAE"/>
    <w:rsid w:val="00BC48C7"/>
    <w:rsid w:val="00C157C9"/>
    <w:rsid w:val="00CE08B0"/>
    <w:rsid w:val="00E252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F11B18F87984D4EAD558EE7BA1AC108">
    <w:name w:val="4F11B18F87984D4EAD558EE7BA1AC108"/>
  </w:style>
  <w:style w:type="paragraph" w:customStyle="1" w:styleId="9AC81BFE38314618921F40B106EC938C">
    <w:name w:val="9AC81BFE38314618921F40B106EC938C"/>
  </w:style>
  <w:style w:type="paragraph" w:customStyle="1" w:styleId="3BD953885A004A60A71AB06BAFC3918E">
    <w:name w:val="3BD953885A004A60A71AB06BAFC391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1_kunskapsstyrning">
  <a:themeElements>
    <a:clrScheme name="kunskapsstyrning">
      <a:dk1>
        <a:sysClr val="windowText" lastClr="000000"/>
      </a:dk1>
      <a:lt1>
        <a:sysClr val="window" lastClr="FFFFFF"/>
      </a:lt1>
      <a:dk2>
        <a:srgbClr val="4D4D4D"/>
      </a:dk2>
      <a:lt2>
        <a:srgbClr val="EEECE1"/>
      </a:lt2>
      <a:accent1>
        <a:srgbClr val="377D7A"/>
      </a:accent1>
      <a:accent2>
        <a:srgbClr val="CC91A9"/>
      </a:accent2>
      <a:accent3>
        <a:srgbClr val="203670"/>
      </a:accent3>
      <a:accent4>
        <a:srgbClr val="EBAE52"/>
      </a:accent4>
      <a:accent5>
        <a:srgbClr val="D34B50"/>
      </a:accent5>
      <a:accent6>
        <a:srgbClr val="6C3F80"/>
      </a:accent6>
      <a:hlink>
        <a:srgbClr val="18A7B8"/>
      </a:hlink>
      <a:folHlink>
        <a:srgbClr val="800080"/>
      </a:folHlink>
    </a:clrScheme>
    <a:fontScheme name="kunskapsstyrning">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F91A1C7095A894980CF5233E0135286" ma:contentTypeVersion="15" ma:contentTypeDescription="Skapa ett nytt dokument." ma:contentTypeScope="" ma:versionID="8fcf29d9be64ec647165e02e5691d1d6">
  <xsd:schema xmlns:xsd="http://www.w3.org/2001/XMLSchema" xmlns:xs="http://www.w3.org/2001/XMLSchema" xmlns:p="http://schemas.microsoft.com/office/2006/metadata/properties" xmlns:ns2="64d5f29f-0716-4f5f-a898-c2130ad1f398" xmlns:ns3="7af47701-a116-401f-8556-9e8affa96896" targetNamespace="http://schemas.microsoft.com/office/2006/metadata/properties" ma:root="true" ma:fieldsID="7c51c4292e62f87fabc54ec7685563b2" ns2:_="" ns3:_="">
    <xsd:import namespace="64d5f29f-0716-4f5f-a898-c2130ad1f398"/>
    <xsd:import namespace="7af47701-a116-401f-8556-9e8affa9689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_x00f6_t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5f29f-0716-4f5f-a898-c2130ad1f39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16" nillable="true" ma:displayName="Taxonomy Catch All Column" ma:hidden="true" ma:list="{7caa152f-4d6d-48f3-aa7a-249642780be2}" ma:internalName="TaxCatchAll" ma:showField="CatchAllData" ma:web="64d5f29f-0716-4f5f-a898-c2130ad1f3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f47701-a116-401f-8556-9e8affa9689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d24b8daa-ea0d-4019-ac30-410f7b645d3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_x00f6_ten" ma:index="21" nillable="true" ma:displayName="Möten" ma:internalName="M_x00f6_ten">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f47701-a116-401f-8556-9e8affa96896">
      <Terms xmlns="http://schemas.microsoft.com/office/infopath/2007/PartnerControls"/>
    </lcf76f155ced4ddcb4097134ff3c332f>
    <TaxCatchAll xmlns="64d5f29f-0716-4f5f-a898-c2130ad1f398" xsi:nil="true"/>
    <M_x00f6_ten xmlns="7af47701-a116-401f-8556-9e8affa96896" xsi:nil="true"/>
    <SharedWithUsers xmlns="64d5f29f-0716-4f5f-a898-c2130ad1f398">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6ADCF-9FFC-4C38-9E01-592B878F953F}">
  <ds:schemaRefs>
    <ds:schemaRef ds:uri="http://schemas.microsoft.com/sharepoint/v3/contenttype/forms"/>
  </ds:schemaRefs>
</ds:datastoreItem>
</file>

<file path=customXml/itemProps2.xml><?xml version="1.0" encoding="utf-8"?>
<ds:datastoreItem xmlns:ds="http://schemas.openxmlformats.org/officeDocument/2006/customXml" ds:itemID="{DC6AA15F-F338-4C25-8371-B9E8172BD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5f29f-0716-4f5f-a898-c2130ad1f398"/>
    <ds:schemaRef ds:uri="7af47701-a116-401f-8556-9e8affa96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4AA95C-C94E-4624-AF9C-B2E1FEDE4AAF}">
  <ds:schemaRefs>
    <ds:schemaRef ds:uri="http://schemas.microsoft.com/office/2006/metadata/properties"/>
    <ds:schemaRef ds:uri="http://schemas.microsoft.com/office/infopath/2007/PartnerControls"/>
    <ds:schemaRef ds:uri="7af47701-a116-401f-8556-9e8affa96896"/>
    <ds:schemaRef ds:uri="64d5f29f-0716-4f5f-a898-c2130ad1f398"/>
  </ds:schemaRefs>
</ds:datastoreItem>
</file>

<file path=customXml/itemProps4.xml><?xml version="1.0" encoding="utf-8"?>
<ds:datastoreItem xmlns:ds="http://schemas.openxmlformats.org/officeDocument/2006/customXml" ds:itemID="{4A6027BB-7C48-4EAB-BDE7-66E1950F2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Konsekvensbeskrivning för kunskapsstödXXX</Template>
  <TotalTime>47</TotalTime>
  <Pages>11</Pages>
  <Words>3728</Words>
  <Characters>19763</Characters>
  <Application>Microsoft Office Word</Application>
  <DocSecurity>0</DocSecurity>
  <Lines>164</Lines>
  <Paragraphs>46</Paragraphs>
  <ScaleCrop>false</ScaleCrop>
  <HeadingPairs>
    <vt:vector size="2" baseType="variant">
      <vt:variant>
        <vt:lpstr>Rubrik</vt:lpstr>
      </vt:variant>
      <vt:variant>
        <vt:i4>1</vt:i4>
      </vt:variant>
    </vt:vector>
  </HeadingPairs>
  <TitlesOfParts>
    <vt:vector size="1" baseType="lpstr">
      <vt:lpstr>Konsekvensbeskrivning av riktlinje för handläggning av glaukom</vt:lpstr>
    </vt:vector>
  </TitlesOfParts>
  <Company/>
  <LinksUpToDate>false</LinksUpToDate>
  <CharactersWithSpaces>23445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Konsekvensbeskrivning av riktlinjer för handläggning av öppenvinkelglaukom</dc:title>
  <dc:creator>Schelin Åsa</dc:creator>
  <cp:lastModifiedBy>Emma Hård Axeling</cp:lastModifiedBy>
  <cp:revision>27</cp:revision>
  <dcterms:created xsi:type="dcterms:W3CDTF">2022-11-08T08:44:00Z</dcterms:created>
  <dcterms:modified xsi:type="dcterms:W3CDTF">2026-05-28T06:07:00Z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Brev</vt:lpwstr>
  </property>
  <property fmtid="{D5CDD505-2E9C-101B-9397-08002B2CF9AE}" pid="3" name="ContentTypeId">
    <vt:lpwstr>0x010100AF91A1C7095A894980CF5233E0135286</vt:lpwstr>
  </property>
  <property fmtid="{D5CDD505-2E9C-101B-9397-08002B2CF9AE}" pid="4" name="Order">
    <vt:r8>442900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